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17"/>
          <w:tab w:val="left" w:pos="4536"/>
        </w:tabs>
        <w:jc w:val="center"/>
        <w:rPr>
          <w:rFonts w:ascii="Times New Roman" w:hAnsi="Times New Roman" w:cs="Times New Roman"/>
          <w:b/>
          <w:szCs w:val="20"/>
        </w:rPr>
      </w:pPr>
      <w:r>
        <w:drawing>
          <wp:inline distT="0" distB="0" distL="114300" distR="114300">
            <wp:extent cx="665480" cy="860425"/>
            <wp:effectExtent l="0" t="0" r="1270" b="158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jc w:val="center"/>
      </w:pPr>
      <w:r>
        <w:rPr>
          <w:rFonts w:ascii="Times New Roman" w:hAnsi="Times New Roman" w:cs="Times New Roman"/>
          <w:b/>
          <w:szCs w:val="20"/>
        </w:rPr>
        <w:t>MINISTÉRIO DA DEFESA</w:t>
      </w:r>
    </w:p>
    <w:p>
      <w:pPr>
        <w:tabs>
          <w:tab w:val="left" w:pos="1417"/>
          <w:tab w:val="left" w:pos="4536"/>
        </w:tabs>
        <w:jc w:val="center"/>
      </w:pPr>
      <w:r>
        <w:rPr>
          <w:rFonts w:ascii="Times New Roman" w:hAnsi="Times New Roman" w:cs="Times New Roman"/>
          <w:b/>
          <w:szCs w:val="20"/>
        </w:rPr>
        <w:t>EXÉRCITO BRASILEIRO</w:t>
      </w:r>
    </w:p>
    <w:p>
      <w:pPr>
        <w:tabs>
          <w:tab w:val="left" w:pos="1417"/>
          <w:tab w:val="left" w:pos="4536"/>
        </w:tabs>
        <w:jc w:val="center"/>
      </w:pPr>
      <w:r>
        <w:rPr>
          <w:rFonts w:ascii="Times New Roman" w:hAnsi="Times New Roman" w:cs="Times New Roman"/>
          <w:b/>
          <w:szCs w:val="20"/>
        </w:rPr>
        <w:t>COMANDO 4ª REGIÃO MILITAR</w:t>
      </w:r>
    </w:p>
    <w:p>
      <w:pPr>
        <w:jc w:val="center"/>
      </w:pPr>
      <w:r>
        <w:rPr>
          <w:rFonts w:ascii="Times New Roman" w:hAnsi="Times New Roman" w:cs="Times New Roman"/>
          <w:b/>
          <w:szCs w:val="20"/>
        </w:rPr>
        <w:t>(4ª Região Militar/1891)</w:t>
      </w:r>
    </w:p>
    <w:p>
      <w:pPr>
        <w:jc w:val="center"/>
      </w:pPr>
      <w:r>
        <w:rPr>
          <w:rFonts w:ascii="Times New Roman" w:hAnsi="Times New Roman" w:cs="Times New Roman"/>
          <w:b/>
          <w:szCs w:val="20"/>
        </w:rPr>
        <w:t>REGIÃO DAS MINAS DO OURO</w:t>
      </w:r>
    </w:p>
    <w:p>
      <w:pPr>
        <w:keepNext/>
        <w:tabs>
          <w:tab w:val="left" w:pos="0"/>
        </w:tabs>
        <w:jc w:val="center"/>
      </w:pPr>
      <w:r>
        <w:rPr>
          <w:rFonts w:ascii="Times New Roman" w:hAnsi="Times New Roman" w:cs="Times New Roman"/>
          <w:szCs w:val="20"/>
        </w:rPr>
        <w:t>Rua Juiz de Fora, nº 900, Barro Preto – Belo Horizonte / MG CEP: 30.180-060</w:t>
      </w:r>
    </w:p>
    <w:p>
      <w:pPr>
        <w:keepNext/>
        <w:tabs>
          <w:tab w:val="left" w:pos="0"/>
        </w:tabs>
        <w:jc w:val="center"/>
      </w:pPr>
      <w:r>
        <w:rPr>
          <w:rFonts w:ascii="Times New Roman" w:hAnsi="Times New Roman" w:cs="Times New Roman"/>
          <w:szCs w:val="20"/>
        </w:rPr>
        <w:t>Tel: (31) 3508-9849 - e-mail: aquisfusexbh@gmail.com</w:t>
      </w:r>
    </w:p>
    <w:p>
      <w:pPr>
        <w:spacing w:line="276" w:lineRule="auto"/>
        <w:jc w:val="center"/>
        <w:rPr>
          <w:rFonts w:cs="Arial"/>
          <w:b/>
          <w:bCs/>
          <w:color w:val="000000" w:themeColor="text1"/>
          <w:szCs w:val="20"/>
          <w14:textFill>
            <w14:solidFill>
              <w14:schemeClr w14:val="tx1"/>
            </w14:solidFill>
          </w14:textFill>
        </w:rPr>
      </w:pPr>
    </w:p>
    <w:p>
      <w:pPr>
        <w:spacing w:line="276" w:lineRule="auto"/>
        <w:jc w:val="center"/>
        <w:rPr>
          <w:rFonts w:hint="default" w:ascii="Times New Roman" w:hAnsi="Times New Roman" w:cs="Times New Roman"/>
          <w:b/>
          <w:bCs/>
          <w:color w:val="000000" w:themeColor="text1"/>
          <w:sz w:val="24"/>
          <w:lang w:val="pt-BR"/>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 xml:space="preserve">AVISO DE DISPENSA ELETRÔNICA Nº </w:t>
      </w:r>
      <w:r>
        <w:rPr>
          <w:rFonts w:hint="default" w:ascii="Times New Roman" w:hAnsi="Times New Roman" w:cs="Times New Roman"/>
          <w:b/>
          <w:bCs/>
          <w:color w:val="000000" w:themeColor="text1"/>
          <w:sz w:val="24"/>
          <w:lang w:val="pt-BR"/>
          <w14:textFill>
            <w14:solidFill>
              <w14:schemeClr w14:val="tx1"/>
            </w14:solidFill>
          </w14:textFill>
        </w:rPr>
        <w:t>561</w:t>
      </w:r>
      <w:r>
        <w:rPr>
          <w:rFonts w:ascii="Times New Roman" w:hAnsi="Times New Roman" w:cs="Times New Roman"/>
          <w:b/>
          <w:bCs/>
          <w:color w:val="000000" w:themeColor="text1"/>
          <w:sz w:val="24"/>
          <w14:textFill>
            <w14:solidFill>
              <w14:schemeClr w14:val="tx1"/>
            </w14:solidFill>
          </w14:textFill>
        </w:rPr>
        <w:t>/202</w:t>
      </w:r>
      <w:r>
        <w:rPr>
          <w:rFonts w:hint="default" w:ascii="Times New Roman" w:hAnsi="Times New Roman" w:cs="Times New Roman"/>
          <w:b/>
          <w:bCs/>
          <w:color w:val="000000" w:themeColor="text1"/>
          <w:sz w:val="24"/>
          <w:lang w:val="pt-BR"/>
          <w14:textFill>
            <w14:solidFill>
              <w14:schemeClr w14:val="tx1"/>
            </w14:solidFill>
          </w14:textFill>
        </w:rPr>
        <w:t>3</w:t>
      </w:r>
    </w:p>
    <w:p>
      <w:pPr>
        <w:spacing w:after="120" w:line="276" w:lineRule="auto"/>
        <w:ind w:right="-15"/>
        <w:jc w:val="center"/>
        <w:rPr>
          <w:rFonts w:ascii="Times New Roman" w:hAnsi="Times New Roman" w:cs="Times New Roman"/>
          <w:b/>
          <w:bCs/>
          <w:color w:val="000000" w:themeColor="text1"/>
          <w:sz w:val="24"/>
          <w14:textFill>
            <w14:solidFill>
              <w14:schemeClr w14:val="tx1"/>
            </w14:solidFill>
          </w14:textFill>
        </w:rPr>
      </w:pPr>
      <w:r>
        <w:rPr>
          <w:rFonts w:ascii="Times New Roman" w:hAnsi="Times New Roman" w:cs="Times New Roman"/>
          <w:sz w:val="24"/>
        </w:rPr>
        <w:t>Art. 75,</w:t>
      </w:r>
      <w:r>
        <w:rPr>
          <w:rFonts w:ascii="Times New Roman" w:hAnsi="Times New Roman" w:cs="Times New Roman"/>
          <w:spacing w:val="-1"/>
          <w:sz w:val="24"/>
        </w:rPr>
        <w:t xml:space="preserve"> </w:t>
      </w:r>
      <w:r>
        <w:rPr>
          <w:rFonts w:ascii="Times New Roman" w:hAnsi="Times New Roman" w:cs="Times New Roman"/>
          <w:sz w:val="24"/>
        </w:rPr>
        <w:t>II</w:t>
      </w:r>
      <w:r>
        <w:rPr>
          <w:rFonts w:ascii="Times New Roman" w:hAnsi="Times New Roman" w:cs="Times New Roman"/>
          <w:spacing w:val="-1"/>
          <w:sz w:val="24"/>
        </w:rPr>
        <w:t xml:space="preserve"> </w:t>
      </w:r>
      <w:r>
        <w:rPr>
          <w:rFonts w:ascii="Times New Roman" w:hAnsi="Times New Roman" w:cs="Times New Roman"/>
          <w:sz w:val="24"/>
        </w:rPr>
        <w:t>da</w:t>
      </w:r>
      <w:r>
        <w:rPr>
          <w:rFonts w:ascii="Times New Roman" w:hAnsi="Times New Roman" w:cs="Times New Roman"/>
          <w:spacing w:val="-2"/>
          <w:sz w:val="24"/>
        </w:rPr>
        <w:t xml:space="preserve"> </w:t>
      </w:r>
      <w:r>
        <w:rPr>
          <w:rFonts w:ascii="Times New Roman" w:hAnsi="Times New Roman" w:cs="Times New Roman"/>
          <w:sz w:val="24"/>
        </w:rPr>
        <w:t>Lei 14.133/21</w:t>
      </w:r>
    </w:p>
    <w:p>
      <w:pPr>
        <w:spacing w:after="120" w:line="276" w:lineRule="auto"/>
        <w:ind w:right="-15"/>
        <w:jc w:val="center"/>
        <w:rPr>
          <w:rFonts w:ascii="Times New Roman" w:hAnsi="Times New Roman" w:cs="Times New Roman"/>
          <w:b/>
          <w:bCs/>
          <w:color w:val="000000"/>
          <w:sz w:val="24"/>
        </w:rPr>
      </w:pPr>
      <w:r>
        <w:rPr>
          <w:rFonts w:ascii="Times New Roman" w:hAnsi="Times New Roman" w:cs="Times New Roman"/>
          <w:b/>
          <w:bCs/>
          <w:color w:val="000000" w:themeColor="text1"/>
          <w:sz w:val="24"/>
          <w14:textFill>
            <w14:solidFill>
              <w14:schemeClr w14:val="tx1"/>
            </w14:solidFill>
          </w14:textFill>
        </w:rPr>
        <w:t xml:space="preserve">(Processo Administrativo n° </w:t>
      </w:r>
      <w:r>
        <w:rPr>
          <w:rFonts w:hint="default" w:ascii="Times New Roman" w:hAnsi="Times New Roman" w:cs="Times New Roman"/>
          <w:b/>
          <w:bCs/>
          <w:color w:val="000000"/>
          <w:sz w:val="24"/>
          <w:lang w:val="pt-BR"/>
        </w:rPr>
        <w:t>64316.111219/2023-67</w:t>
      </w:r>
      <w:r>
        <w:rPr>
          <w:rFonts w:ascii="Times New Roman" w:hAnsi="Times New Roman" w:cs="Times New Roman"/>
          <w:b/>
          <w:bCs/>
          <w:color w:val="000000" w:themeColor="text1"/>
          <w:sz w:val="24"/>
          <w14:textFill>
            <w14:solidFill>
              <w14:schemeClr w14:val="tx1"/>
            </w14:solidFill>
          </w14:textFill>
        </w:rPr>
        <w:t>)</w:t>
      </w:r>
    </w:p>
    <w:p>
      <w:pPr>
        <w:snapToGrid w:val="0"/>
        <w:spacing w:after="120"/>
        <w:ind w:right="-28"/>
        <w:jc w:val="both"/>
        <w:rPr>
          <w:rFonts w:ascii="Times New Roman" w:hAnsi="Times New Roman" w:cs="Times New Roman"/>
          <w:sz w:val="24"/>
        </w:rPr>
      </w:pPr>
      <w:r>
        <w:rPr>
          <w:rFonts w:ascii="Times New Roman" w:hAnsi="Times New Roman" w:cs="Times New Roman"/>
          <w:sz w:val="24"/>
        </w:rPr>
        <w:t xml:space="preserve">Torna-se público que o Posto Médico de Guarnição de Belo Horizonte do Comando da 4ª Região Militar, por meio do Setor de Licitações, realizará Dispensa Eletrônica, </w:t>
      </w:r>
      <w:r>
        <w:rPr>
          <w:rFonts w:ascii="Times New Roman" w:hAnsi="Times New Roman" w:cs="Times New Roman"/>
          <w:bCs/>
          <w:sz w:val="24"/>
        </w:rPr>
        <w:t xml:space="preserve">com critério de julgamento </w:t>
      </w:r>
      <w:r>
        <w:rPr>
          <w:rFonts w:ascii="Times New Roman" w:hAnsi="Times New Roman" w:cs="Times New Roman"/>
          <w:sz w:val="24"/>
        </w:rPr>
        <w:t>(menor preço)</w:t>
      </w:r>
      <w:r>
        <w:rPr>
          <w:rFonts w:ascii="Times New Roman" w:hAnsi="Times New Roman" w:cs="Times New Roman"/>
          <w:bCs/>
          <w:sz w:val="24"/>
        </w:rPr>
        <w:t xml:space="preserve">, </w:t>
      </w:r>
      <w:r>
        <w:rPr>
          <w:rFonts w:ascii="Times New Roman" w:hAnsi="Times New Roman" w:cs="Times New Roman"/>
          <w:sz w:val="24"/>
        </w:rPr>
        <w:t>na hipótese do art. 75</w:t>
      </w:r>
      <w:r>
        <w:rPr>
          <w:rFonts w:ascii="Times New Roman" w:hAnsi="Times New Roman" w:cs="Times New Roman"/>
          <w:iCs/>
          <w:sz w:val="24"/>
        </w:rPr>
        <w:t>, inciso II,</w:t>
      </w:r>
      <w:r>
        <w:rPr>
          <w:rFonts w:ascii="Times New Roman" w:hAnsi="Times New Roman" w:cs="Times New Roman"/>
          <w:sz w:val="24"/>
        </w:rPr>
        <w:t xml:space="preserve"> </w:t>
      </w:r>
      <w:r>
        <w:rPr>
          <w:rFonts w:ascii="Times New Roman" w:hAnsi="Times New Roman" w:cs="Times New Roman"/>
          <w:bCs/>
          <w:sz w:val="24"/>
        </w:rPr>
        <w:t>nos termos da Lei nº 14.133, de 1º de abril de 2021, da Instrução Normativa SEGES/ME nº 67/2021 e demais legislação aplicável</w:t>
      </w:r>
      <w:r>
        <w:rPr>
          <w:rFonts w:ascii="Times New Roman" w:hAnsi="Times New Roman" w:cs="Times New Roman"/>
          <w:sz w:val="24"/>
        </w:rPr>
        <w:t>.</w:t>
      </w:r>
    </w:p>
    <w:p>
      <w:pPr>
        <w:spacing w:line="276" w:lineRule="auto"/>
        <w:jc w:val="both"/>
        <w:rPr>
          <w:rFonts w:ascii="Times New Roman" w:hAnsi="Times New Roman" w:cs="Times New Roman"/>
          <w:sz w:val="24"/>
        </w:rPr>
      </w:pPr>
    </w:p>
    <w:p>
      <w:pPr>
        <w:spacing w:line="276" w:lineRule="auto"/>
        <w:jc w:val="both"/>
        <w:rPr>
          <w:rFonts w:hint="default" w:ascii="Times New Roman" w:hAnsi="Times New Roman" w:cs="Times New Roman"/>
          <w:sz w:val="24"/>
          <w:lang w:val="pt-BR"/>
        </w:rPr>
      </w:pPr>
      <w:r>
        <w:rPr>
          <w:rFonts w:ascii="Times New Roman" w:hAnsi="Times New Roman" w:cs="Times New Roman"/>
          <w:sz w:val="24"/>
        </w:rPr>
        <w:t>Data da sessão:</w:t>
      </w:r>
      <w:r>
        <w:rPr>
          <w:rFonts w:hint="default" w:ascii="Times New Roman" w:hAnsi="Times New Roman" w:cs="Times New Roman"/>
          <w:sz w:val="24"/>
          <w:lang w:val="pt-BR"/>
        </w:rPr>
        <w:t xml:space="preserve">    30</w:t>
      </w:r>
      <w:r>
        <w:rPr>
          <w:rFonts w:ascii="Times New Roman" w:hAnsi="Times New Roman" w:cs="Times New Roman"/>
          <w:sz w:val="24"/>
        </w:rPr>
        <w:t xml:space="preserve"> de </w:t>
      </w:r>
      <w:r>
        <w:rPr>
          <w:rFonts w:hint="default" w:ascii="Times New Roman" w:hAnsi="Times New Roman" w:cs="Times New Roman"/>
          <w:sz w:val="24"/>
          <w:lang w:val="pt-BR"/>
        </w:rPr>
        <w:t xml:space="preserve">junho </w:t>
      </w:r>
      <w:r>
        <w:rPr>
          <w:rFonts w:ascii="Times New Roman" w:hAnsi="Times New Roman" w:cs="Times New Roman"/>
          <w:sz w:val="24"/>
        </w:rPr>
        <w:t xml:space="preserve"> de 202</w:t>
      </w:r>
      <w:r>
        <w:rPr>
          <w:rFonts w:hint="default" w:ascii="Times New Roman" w:hAnsi="Times New Roman" w:cs="Times New Roman"/>
          <w:sz w:val="24"/>
          <w:lang w:val="pt-BR"/>
        </w:rPr>
        <w:t>3</w:t>
      </w:r>
    </w:p>
    <w:p>
      <w:pPr>
        <w:rPr>
          <w:rFonts w:ascii="Times New Roman" w:hAnsi="Times New Roman" w:cs="Times New Roman"/>
          <w:sz w:val="24"/>
        </w:rPr>
      </w:pPr>
      <w:r>
        <w:rPr>
          <w:rFonts w:ascii="Times New Roman" w:hAnsi="Times New Roman" w:cs="Times New Roman"/>
          <w:sz w:val="24"/>
        </w:rPr>
        <w:t>Link: www.comprasgovernamentais.gov.br</w:t>
      </w:r>
    </w:p>
    <w:p>
      <w:pPr>
        <w:rPr>
          <w:rFonts w:ascii="Times New Roman" w:hAnsi="Times New Roman" w:cs="Times New Roman"/>
          <w:sz w:val="24"/>
        </w:rPr>
      </w:pPr>
      <w:r>
        <w:rPr>
          <w:rFonts w:ascii="Times New Roman" w:hAnsi="Times New Roman" w:cs="Times New Roman"/>
          <w:sz w:val="24"/>
        </w:rPr>
        <w:t>Horário da Fase de Lances: 8:00 às 16:00hs (horário de Brasília-DF)</w:t>
      </w:r>
    </w:p>
    <w:p>
      <w:pPr>
        <w:rPr>
          <w:rFonts w:ascii="Times New Roman" w:hAnsi="Times New Roman" w:cs="Times New Roman"/>
          <w:sz w:val="24"/>
        </w:rPr>
      </w:pPr>
    </w:p>
    <w:p>
      <w:pPr>
        <w:pStyle w:val="7"/>
        <w:keepNext w:val="0"/>
        <w:widowControl/>
        <w:numPr>
          <w:ilvl w:val="0"/>
          <w:numId w:val="1"/>
        </w:numPr>
        <w:shd w:val="clear" w:color="auto" w:fill="auto"/>
        <w:spacing w:before="120" w:after="120"/>
        <w:ind w:left="0" w:firstLine="0"/>
        <w:rPr>
          <w:rFonts w:ascii="Times New Roman" w:hAnsi="Times New Roman" w:cs="Times New Roman"/>
          <w:b/>
          <w:sz w:val="24"/>
        </w:rPr>
      </w:pPr>
      <w:r>
        <w:rPr>
          <w:rFonts w:ascii="Times New Roman" w:hAnsi="Times New Roman" w:cs="Times New Roman"/>
          <w:b/>
          <w:sz w:val="24"/>
        </w:rPr>
        <w:t>OBJETO DA CONTRATAÇÃO DIRETA</w:t>
      </w:r>
    </w:p>
    <w:p>
      <w:pPr>
        <w:pStyle w:val="8"/>
        <w:numPr>
          <w:ilvl w:val="1"/>
          <w:numId w:val="2"/>
        </w:numPr>
        <w:tabs>
          <w:tab w:val="left" w:pos="550"/>
        </w:tabs>
        <w:ind w:left="0" w:right="133" w:firstLine="0"/>
        <w:jc w:val="both"/>
        <w:rPr>
          <w:rFonts w:ascii="Times New Roman" w:hAnsi="Times New Roman" w:cs="Times New Roman"/>
          <w:sz w:val="24"/>
        </w:rPr>
      </w:pPr>
      <w:r>
        <w:rPr>
          <w:rFonts w:ascii="Times New Roman" w:hAnsi="Times New Roman" w:cs="Times New Roman"/>
          <w:sz w:val="24"/>
        </w:rPr>
        <w:t xml:space="preserve">O objeto da presente dispensa é a escolha da proposta mais vantajosa para a aquisição de </w:t>
      </w:r>
      <w:r>
        <w:rPr>
          <w:rFonts w:hint="default" w:ascii="Times New Roman" w:hAnsi="Times New Roman" w:cs="Times New Roman"/>
          <w:sz w:val="24"/>
          <w:lang w:val="pt-BR"/>
        </w:rPr>
        <w:t>bolsas e placas de colostomia</w:t>
      </w:r>
      <w:r>
        <w:rPr>
          <w:rFonts w:ascii="Times New Roman" w:hAnsi="Times New Roman" w:cs="Times New Roman"/>
          <w:sz w:val="24"/>
        </w:rPr>
        <w:t xml:space="preserve"> por dispensa de licitação de Contratação</w:t>
      </w:r>
      <w:r>
        <w:rPr>
          <w:rFonts w:ascii="Times New Roman" w:hAnsi="Times New Roman" w:cs="Times New Roman"/>
          <w:spacing w:val="1"/>
          <w:sz w:val="24"/>
        </w:rPr>
        <w:t xml:space="preserve"> </w:t>
      </w:r>
      <w:r>
        <w:rPr>
          <w:rFonts w:ascii="Times New Roman" w:hAnsi="Times New Roman" w:cs="Times New Roman"/>
          <w:sz w:val="24"/>
        </w:rPr>
        <w:t>visando</w:t>
      </w:r>
      <w:r>
        <w:rPr>
          <w:rFonts w:ascii="Times New Roman" w:hAnsi="Times New Roman" w:cs="Times New Roman"/>
          <w:spacing w:val="50"/>
          <w:sz w:val="24"/>
        </w:rPr>
        <w:t xml:space="preserve"> </w:t>
      </w:r>
      <w:r>
        <w:rPr>
          <w:rFonts w:ascii="Times New Roman" w:hAnsi="Times New Roman" w:cs="Times New Roman"/>
          <w:sz w:val="24"/>
        </w:rPr>
        <w:t>atender</w:t>
      </w:r>
      <w:r>
        <w:rPr>
          <w:rFonts w:ascii="Times New Roman" w:hAnsi="Times New Roman" w:cs="Times New Roman"/>
          <w:spacing w:val="50"/>
          <w:sz w:val="24"/>
        </w:rPr>
        <w:t xml:space="preserve"> </w:t>
      </w:r>
      <w:r>
        <w:rPr>
          <w:rFonts w:ascii="Times New Roman" w:hAnsi="Times New Roman" w:cs="Times New Roman"/>
          <w:sz w:val="24"/>
        </w:rPr>
        <w:t>às</w:t>
      </w:r>
      <w:r>
        <w:rPr>
          <w:rFonts w:ascii="Times New Roman" w:hAnsi="Times New Roman" w:cs="Times New Roman"/>
          <w:spacing w:val="51"/>
          <w:sz w:val="24"/>
        </w:rPr>
        <w:t xml:space="preserve"> </w:t>
      </w:r>
      <w:r>
        <w:rPr>
          <w:rFonts w:ascii="Times New Roman" w:hAnsi="Times New Roman" w:cs="Times New Roman"/>
          <w:sz w:val="24"/>
        </w:rPr>
        <w:t>necessidades</w:t>
      </w:r>
      <w:r>
        <w:rPr>
          <w:rFonts w:ascii="Times New Roman" w:hAnsi="Times New Roman" w:cs="Times New Roman"/>
          <w:spacing w:val="51"/>
          <w:sz w:val="24"/>
        </w:rPr>
        <w:t xml:space="preserve"> </w:t>
      </w:r>
      <w:r>
        <w:rPr>
          <w:rFonts w:ascii="Times New Roman" w:hAnsi="Times New Roman" w:cs="Times New Roman"/>
          <w:sz w:val="24"/>
        </w:rPr>
        <w:t>do</w:t>
      </w:r>
      <w:r>
        <w:rPr>
          <w:rFonts w:ascii="Times New Roman" w:hAnsi="Times New Roman" w:cs="Times New Roman"/>
          <w:spacing w:val="48"/>
          <w:sz w:val="24"/>
        </w:rPr>
        <w:t xml:space="preserve"> Posto Médico de Guarnição de Belo Horizonte do Comando da 4ª Região Militar</w:t>
      </w:r>
      <w:r>
        <w:rPr>
          <w:rFonts w:ascii="Times New Roman" w:hAnsi="Times New Roman" w:cs="Times New Roman"/>
          <w:sz w:val="24"/>
        </w:rPr>
        <w:t>, conforme condições, quantidades e exigências estabelecidas neste</w:t>
      </w:r>
      <w:r>
        <w:rPr>
          <w:rFonts w:ascii="Times New Roman" w:hAnsi="Times New Roman" w:cs="Times New Roman"/>
          <w:spacing w:val="1"/>
          <w:sz w:val="24"/>
        </w:rPr>
        <w:t xml:space="preserve"> </w:t>
      </w:r>
      <w:r>
        <w:rPr>
          <w:rFonts w:ascii="Times New Roman" w:hAnsi="Times New Roman" w:cs="Times New Roman"/>
          <w:sz w:val="24"/>
        </w:rPr>
        <w:t>Aviso de Contratação Direta e seus anexos.</w:t>
      </w:r>
    </w:p>
    <w:p>
      <w:pPr>
        <w:pStyle w:val="7"/>
        <w:keepNext w:val="0"/>
        <w:widowControl/>
        <w:numPr>
          <w:ilvl w:val="1"/>
          <w:numId w:val="1"/>
        </w:numPr>
        <w:shd w:val="clear" w:color="auto" w:fill="auto"/>
        <w:spacing w:before="120" w:after="120"/>
        <w:ind w:left="0" w:firstLine="0"/>
        <w:rPr>
          <w:rFonts w:ascii="Times New Roman" w:hAnsi="Times New Roman" w:cs="Times New Roman"/>
          <w:sz w:val="24"/>
        </w:rPr>
      </w:pPr>
      <w:r>
        <w:rPr>
          <w:rFonts w:ascii="Times New Roman" w:hAnsi="Times New Roman" w:cs="Times New Roman"/>
          <w:iCs/>
          <w:sz w:val="24"/>
        </w:rPr>
        <w:t xml:space="preserve">A contratação será dividida em </w:t>
      </w:r>
      <w:r>
        <w:rPr>
          <w:rFonts w:hint="default" w:ascii="Times New Roman" w:hAnsi="Times New Roman" w:cs="Times New Roman"/>
          <w:iCs/>
          <w:sz w:val="24"/>
          <w:lang w:val="pt-BR"/>
        </w:rPr>
        <w:t xml:space="preserve">dois </w:t>
      </w:r>
      <w:r>
        <w:rPr>
          <w:rFonts w:ascii="Times New Roman" w:hAnsi="Times New Roman" w:cs="Times New Roman"/>
          <w:iCs/>
          <w:sz w:val="24"/>
        </w:rPr>
        <w:t>ite</w:t>
      </w:r>
      <w:r>
        <w:rPr>
          <w:rFonts w:hint="default" w:ascii="Times New Roman" w:hAnsi="Times New Roman" w:cs="Times New Roman"/>
          <w:iCs/>
          <w:sz w:val="24"/>
          <w:lang w:val="pt-BR"/>
        </w:rPr>
        <w:t>ns</w:t>
      </w:r>
      <w:r>
        <w:rPr>
          <w:rFonts w:ascii="Times New Roman" w:hAnsi="Times New Roman" w:cs="Times New Roman"/>
          <w:b/>
          <w:bCs/>
          <w:iCs/>
          <w:sz w:val="24"/>
        </w:rPr>
        <w:t>,</w:t>
      </w:r>
      <w:r>
        <w:rPr>
          <w:rFonts w:ascii="Times New Roman" w:hAnsi="Times New Roman" w:cs="Times New Roman"/>
          <w:iCs/>
          <w:sz w:val="24"/>
        </w:rPr>
        <w:t xml:space="preserve"> conforme tabela constante abaixo</w:t>
      </w:r>
      <w:r>
        <w:rPr>
          <w:rFonts w:ascii="Times New Roman" w:hAnsi="Times New Roman" w:cs="Times New Roman"/>
          <w:i/>
          <w:iCs/>
          <w:sz w:val="24"/>
        </w:rPr>
        <w:t>.</w:t>
      </w:r>
    </w:p>
    <w:tbl>
      <w:tblPr>
        <w:tblStyle w:val="3"/>
        <w:tblW w:w="9203"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4038"/>
        <w:gridCol w:w="851"/>
        <w:gridCol w:w="850"/>
        <w:gridCol w:w="1134"/>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ind w:right="-45" w:rightChars="0"/>
              <w:jc w:val="center"/>
              <w:rPr>
                <w:rFonts w:ascii="Times New Roman" w:hAnsi="Times New Roman" w:cs="Times New Roman"/>
                <w:b/>
                <w:sz w:val="24"/>
              </w:rPr>
            </w:pPr>
            <w:r>
              <w:rPr>
                <w:rFonts w:ascii="Times New Roman" w:hAnsi="Times New Roman" w:cs="Times New Roman"/>
                <w:b/>
                <w:sz w:val="24"/>
              </w:rPr>
              <w:t>Item</w:t>
            </w:r>
          </w:p>
        </w:tc>
        <w:tc>
          <w:tcPr>
            <w:tcW w:w="4038" w:type="dxa"/>
            <w:vAlign w:val="center"/>
          </w:tcPr>
          <w:p>
            <w:pPr>
              <w:jc w:val="center"/>
              <w:rPr>
                <w:rFonts w:ascii="Times New Roman" w:hAnsi="Times New Roman" w:cs="Times New Roman"/>
                <w:b/>
                <w:sz w:val="24"/>
              </w:rPr>
            </w:pPr>
            <w:r>
              <w:rPr>
                <w:rFonts w:ascii="Times New Roman" w:hAnsi="Times New Roman" w:cs="Times New Roman"/>
                <w:b/>
                <w:sz w:val="24"/>
              </w:rPr>
              <w:t>Descrição</w:t>
            </w:r>
          </w:p>
        </w:tc>
        <w:tc>
          <w:tcPr>
            <w:tcW w:w="851" w:type="dxa"/>
            <w:vAlign w:val="center"/>
          </w:tcPr>
          <w:p>
            <w:pPr>
              <w:jc w:val="center"/>
              <w:rPr>
                <w:rFonts w:ascii="Times New Roman" w:hAnsi="Times New Roman" w:cs="Times New Roman"/>
                <w:b/>
                <w:sz w:val="24"/>
              </w:rPr>
            </w:pPr>
            <w:r>
              <w:rPr>
                <w:rFonts w:ascii="Times New Roman" w:hAnsi="Times New Roman" w:cs="Times New Roman"/>
                <w:b/>
                <w:sz w:val="24"/>
              </w:rPr>
              <w:t>Und</w:t>
            </w:r>
          </w:p>
        </w:tc>
        <w:tc>
          <w:tcPr>
            <w:tcW w:w="850" w:type="dxa"/>
            <w:vAlign w:val="center"/>
          </w:tcPr>
          <w:p>
            <w:pPr>
              <w:jc w:val="center"/>
              <w:rPr>
                <w:rFonts w:ascii="Times New Roman" w:hAnsi="Times New Roman" w:cs="Times New Roman"/>
                <w:b/>
                <w:sz w:val="24"/>
              </w:rPr>
            </w:pPr>
            <w:r>
              <w:rPr>
                <w:rFonts w:ascii="Times New Roman" w:hAnsi="Times New Roman" w:cs="Times New Roman"/>
                <w:b/>
                <w:sz w:val="24"/>
              </w:rPr>
              <w:t>Qtde</w:t>
            </w:r>
          </w:p>
        </w:tc>
        <w:tc>
          <w:tcPr>
            <w:tcW w:w="1134" w:type="dxa"/>
            <w:vAlign w:val="center"/>
          </w:tcPr>
          <w:p>
            <w:pPr>
              <w:jc w:val="center"/>
              <w:textAlignment w:val="center"/>
              <w:rPr>
                <w:rFonts w:ascii="Times New Roman" w:hAnsi="Times New Roman" w:cs="Times New Roman"/>
                <w:b/>
                <w:sz w:val="24"/>
              </w:rPr>
            </w:pPr>
            <w:r>
              <w:rPr>
                <w:rFonts w:ascii="Times New Roman" w:hAnsi="Times New Roman" w:eastAsia="SimSun" w:cs="Times New Roman"/>
                <w:b/>
                <w:bCs/>
                <w:color w:val="000000"/>
                <w:sz w:val="24"/>
                <w:lang w:val="en-US" w:eastAsia="zh-CN" w:bidi="ar"/>
              </w:rPr>
              <w:t>Valor máximo Unitário</w:t>
            </w:r>
          </w:p>
        </w:tc>
        <w:tc>
          <w:tcPr>
            <w:tcW w:w="1634" w:type="dxa"/>
            <w:vAlign w:val="center"/>
          </w:tcPr>
          <w:p>
            <w:pPr>
              <w:jc w:val="center"/>
              <w:textAlignment w:val="center"/>
              <w:rPr>
                <w:rFonts w:ascii="Times New Roman" w:hAnsi="Times New Roman" w:cs="Times New Roman"/>
                <w:b/>
                <w:sz w:val="24"/>
              </w:rPr>
            </w:pPr>
            <w:r>
              <w:rPr>
                <w:rFonts w:ascii="Times New Roman" w:hAnsi="Times New Roman" w:eastAsia="SimSun" w:cs="Times New Roman"/>
                <w:b/>
                <w:bCs/>
                <w:color w:val="000000"/>
                <w:sz w:val="24"/>
                <w:lang w:val="en-US" w:eastAsia="zh-CN" w:bidi="ar"/>
              </w:rPr>
              <w:t xml:space="preserve">Valor máximo Total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696" w:type="dxa"/>
            <w:vAlign w:val="center"/>
          </w:tcPr>
          <w:p>
            <w:pPr>
              <w:jc w:val="center"/>
              <w:rPr>
                <w:rFonts w:ascii="Times New Roman" w:hAnsi="Times New Roman" w:cs="Times New Roman"/>
                <w:sz w:val="24"/>
              </w:rPr>
            </w:pPr>
            <w:r>
              <w:rPr>
                <w:rFonts w:ascii="Times New Roman" w:hAnsi="Times New Roman" w:cs="Times New Roman"/>
                <w:sz w:val="24"/>
              </w:rPr>
              <w:t>1</w:t>
            </w:r>
          </w:p>
        </w:tc>
        <w:tc>
          <w:tcPr>
            <w:tcW w:w="4038" w:type="dxa"/>
            <w:vAlign w:val="center"/>
          </w:tcPr>
          <w:p>
            <w:pPr>
              <w:keepNext w:val="0"/>
              <w:keepLines w:val="0"/>
              <w:widowControl/>
              <w:suppressLineNumbers w:val="0"/>
              <w:jc w:val="center"/>
              <w:textAlignment w:val="center"/>
              <w:rPr>
                <w:rFonts w:ascii="Times New Roman" w:hAnsi="Times New Roman" w:cs="Times New Roman"/>
                <w:b w:val="0"/>
                <w:bCs w:val="0"/>
                <w:sz w:val="24"/>
                <w:szCs w:val="24"/>
              </w:rPr>
            </w:pPr>
            <w:r>
              <w:rPr>
                <w:rFonts w:hint="default" w:ascii="Times New Roman" w:hAnsi="Times New Roman" w:eastAsia="SimSun" w:cs="Times New Roman"/>
                <w:b/>
                <w:bCs/>
                <w:i w:val="0"/>
                <w:iCs w:val="0"/>
                <w:color w:val="000000"/>
                <w:kern w:val="0"/>
                <w:sz w:val="24"/>
                <w:szCs w:val="24"/>
                <w:u w:val="none"/>
                <w:lang w:val="en-US" w:eastAsia="zh-CN" w:bidi="ar"/>
              </w:rPr>
              <w:t>BOLSA PARA COLOSTOMIA</w:t>
            </w:r>
          </w:p>
        </w:tc>
        <w:tc>
          <w:tcPr>
            <w:tcW w:w="851" w:type="dxa"/>
            <w:vAlign w:val="center"/>
          </w:tcPr>
          <w:p>
            <w:pPr>
              <w:jc w:val="center"/>
              <w:rPr>
                <w:rFonts w:ascii="Times New Roman" w:hAnsi="Times New Roman" w:cs="Times New Roman"/>
                <w:sz w:val="24"/>
              </w:rPr>
            </w:pPr>
            <w:r>
              <w:rPr>
                <w:rFonts w:ascii="Times New Roman" w:hAnsi="Times New Roman" w:cs="Times New Roman"/>
                <w:sz w:val="24"/>
              </w:rPr>
              <w:t>Mês</w:t>
            </w:r>
          </w:p>
        </w:tc>
        <w:tc>
          <w:tcPr>
            <w:tcW w:w="850" w:type="dxa"/>
            <w:vAlign w:val="center"/>
          </w:tcPr>
          <w:p>
            <w:pPr>
              <w:jc w:val="center"/>
              <w:rPr>
                <w:rFonts w:ascii="Times New Roman" w:hAnsi="Times New Roman" w:cs="Times New Roman"/>
                <w:sz w:val="24"/>
              </w:rPr>
            </w:pPr>
            <w:r>
              <w:rPr>
                <w:rFonts w:hint="default" w:ascii="Times New Roman" w:hAnsi="Times New Roman" w:cs="Times New Roman"/>
                <w:sz w:val="24"/>
                <w:lang w:val="pt-BR"/>
              </w:rPr>
              <w:t>180</w:t>
            </w:r>
          </w:p>
        </w:tc>
        <w:tc>
          <w:tcPr>
            <w:tcW w:w="1134" w:type="dxa"/>
            <w:vAlign w:val="center"/>
          </w:tcPr>
          <w:p>
            <w:pPr>
              <w:jc w:val="center"/>
              <w:textAlignment w:val="center"/>
              <w:rPr>
                <w:rFonts w:hint="default" w:ascii="Times New Roman" w:hAnsi="Times New Roman" w:cs="Times New Roman"/>
                <w:sz w:val="24"/>
                <w:lang w:val="pt-BR"/>
              </w:rPr>
            </w:pPr>
            <w:r>
              <w:rPr>
                <w:rFonts w:ascii="Times New Roman" w:hAnsi="Times New Roman" w:eastAsia="SimSun" w:cs="Times New Roman"/>
                <w:bCs/>
                <w:color w:val="000000"/>
                <w:sz w:val="24"/>
                <w:lang w:val="en-US" w:eastAsia="zh-CN" w:bidi="ar"/>
              </w:rPr>
              <w:t xml:space="preserve">R$ </w:t>
            </w:r>
            <w:r>
              <w:rPr>
                <w:rFonts w:hint="default" w:ascii="Times New Roman" w:hAnsi="Times New Roman" w:eastAsia="SimSun" w:cs="Times New Roman"/>
                <w:bCs/>
                <w:color w:val="000000"/>
                <w:sz w:val="24"/>
                <w:lang w:val="pt-BR" w:eastAsia="zh-CN" w:bidi="ar"/>
              </w:rPr>
              <w:t>38,64</w:t>
            </w:r>
          </w:p>
        </w:tc>
        <w:tc>
          <w:tcPr>
            <w:tcW w:w="1634" w:type="dxa"/>
            <w:vAlign w:val="center"/>
          </w:tcPr>
          <w:p>
            <w:pPr>
              <w:jc w:val="center"/>
              <w:textAlignment w:val="center"/>
              <w:rPr>
                <w:rFonts w:ascii="Times New Roman" w:hAnsi="Times New Roman" w:cs="Times New Roman"/>
                <w:sz w:val="24"/>
              </w:rPr>
            </w:pPr>
            <w:r>
              <w:rPr>
                <w:rFonts w:ascii="Times New Roman" w:hAnsi="Times New Roman" w:eastAsia="SimSun" w:cs="Times New Roman"/>
                <w:color w:val="000000"/>
                <w:sz w:val="24"/>
                <w:lang w:val="en-US" w:eastAsia="zh-CN" w:bidi="ar"/>
              </w:rPr>
              <w:t xml:space="preserve">R$ </w:t>
            </w:r>
            <w:r>
              <w:rPr>
                <w:rFonts w:hint="default" w:ascii="Times New Roman" w:hAnsi="Times New Roman" w:eastAsia="SimSun" w:cs="Times New Roman"/>
                <w:color w:val="000000"/>
                <w:sz w:val="24"/>
                <w:lang w:val="pt-BR" w:eastAsia="zh-CN" w:bidi="ar"/>
              </w:rPr>
              <w:t>6</w:t>
            </w:r>
            <w:r>
              <w:rPr>
                <w:rFonts w:ascii="Times New Roman" w:hAnsi="Times New Roman" w:eastAsia="SimSun" w:cs="Times New Roman"/>
                <w:color w:val="000000"/>
                <w:sz w:val="24"/>
                <w:lang w:val="en-US" w:eastAsia="zh-CN" w:bidi="ar"/>
              </w:rPr>
              <w:t>.</w:t>
            </w:r>
            <w:r>
              <w:rPr>
                <w:rFonts w:hint="default" w:ascii="Times New Roman" w:hAnsi="Times New Roman" w:eastAsia="SimSun" w:cs="Times New Roman"/>
                <w:color w:val="000000"/>
                <w:sz w:val="24"/>
                <w:lang w:val="pt-BR" w:eastAsia="zh-CN" w:bidi="ar"/>
              </w:rPr>
              <w:t>955</w:t>
            </w:r>
            <w:r>
              <w:rPr>
                <w:rFonts w:ascii="Times New Roman" w:hAnsi="Times New Roman" w:eastAsia="SimSun" w:cs="Times New Roman"/>
                <w:color w:val="000000"/>
                <w:sz w:val="24"/>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96" w:type="dxa"/>
            <w:vAlign w:val="center"/>
          </w:tcPr>
          <w:p>
            <w:pPr>
              <w:jc w:val="center"/>
              <w:rPr>
                <w:rFonts w:hint="default" w:ascii="Times New Roman" w:hAnsi="Times New Roman" w:eastAsia="Times New Roman" w:cs="Times New Roman"/>
                <w:sz w:val="24"/>
                <w:szCs w:val="24"/>
                <w:lang w:val="en-US" w:eastAsia="pt-BR" w:bidi="ar-SA"/>
              </w:rPr>
            </w:pPr>
            <w:r>
              <w:rPr>
                <w:rFonts w:hint="default" w:ascii="Times New Roman" w:hAnsi="Times New Roman" w:cs="Times New Roman"/>
                <w:sz w:val="24"/>
                <w:lang w:val="pt-BR"/>
              </w:rPr>
              <w:t>2</w:t>
            </w:r>
          </w:p>
        </w:tc>
        <w:tc>
          <w:tcPr>
            <w:tcW w:w="4038" w:type="dxa"/>
            <w:vAlign w:val="center"/>
          </w:tcPr>
          <w:p>
            <w:pPr>
              <w:keepNext w:val="0"/>
              <w:keepLines w:val="0"/>
              <w:widowControl/>
              <w:suppressLineNumbers w:val="0"/>
              <w:jc w:val="center"/>
              <w:textAlignment w:val="center"/>
              <w:rPr>
                <w:rFonts w:ascii="Times New Roman" w:hAnsi="Times New Roman" w:eastAsia="Times New Roman" w:cs="Times New Roman"/>
                <w:b w:val="0"/>
                <w:bCs w:val="0"/>
                <w:sz w:val="24"/>
                <w:szCs w:val="24"/>
                <w:lang w:val="pt-BR" w:eastAsia="pt-BR" w:bidi="ar-SA"/>
              </w:rPr>
            </w:pPr>
            <w:r>
              <w:rPr>
                <w:rFonts w:hint="default" w:ascii="Times New Roman" w:hAnsi="Times New Roman" w:eastAsia="SimSun" w:cs="Times New Roman"/>
                <w:b/>
                <w:bCs/>
                <w:i w:val="0"/>
                <w:iCs w:val="0"/>
                <w:color w:val="000000"/>
                <w:kern w:val="0"/>
                <w:sz w:val="24"/>
                <w:szCs w:val="24"/>
                <w:u w:val="none"/>
                <w:lang w:val="en-US" w:eastAsia="zh-CN" w:bidi="ar"/>
              </w:rPr>
              <w:t>PLACA PARA COLOSTOMIA</w:t>
            </w:r>
          </w:p>
        </w:tc>
        <w:tc>
          <w:tcPr>
            <w:tcW w:w="851" w:type="dxa"/>
            <w:vAlign w:val="center"/>
          </w:tcPr>
          <w:p>
            <w:pPr>
              <w:jc w:val="center"/>
              <w:rPr>
                <w:rFonts w:ascii="Times New Roman" w:hAnsi="Times New Roman" w:eastAsia="Times New Roman" w:cs="Times New Roman"/>
                <w:sz w:val="24"/>
                <w:szCs w:val="24"/>
                <w:lang w:val="pt-BR" w:eastAsia="pt-BR" w:bidi="ar-SA"/>
              </w:rPr>
            </w:pPr>
            <w:r>
              <w:rPr>
                <w:rFonts w:ascii="Times New Roman" w:hAnsi="Times New Roman" w:cs="Times New Roman"/>
                <w:sz w:val="24"/>
              </w:rPr>
              <w:t>Mês</w:t>
            </w:r>
          </w:p>
        </w:tc>
        <w:tc>
          <w:tcPr>
            <w:tcW w:w="850" w:type="dxa"/>
            <w:vAlign w:val="center"/>
          </w:tcPr>
          <w:p>
            <w:pPr>
              <w:jc w:val="center"/>
              <w:rPr>
                <w:rFonts w:hint="default" w:ascii="Times New Roman" w:hAnsi="Times New Roman" w:eastAsia="Times New Roman" w:cs="Times New Roman"/>
                <w:sz w:val="24"/>
                <w:szCs w:val="24"/>
                <w:lang w:val="en-US" w:eastAsia="pt-BR" w:bidi="ar-SA"/>
              </w:rPr>
            </w:pPr>
            <w:r>
              <w:rPr>
                <w:rFonts w:hint="default" w:ascii="Times New Roman" w:hAnsi="Times New Roman" w:cs="Times New Roman"/>
                <w:sz w:val="24"/>
                <w:szCs w:val="24"/>
                <w:lang w:val="en-US" w:eastAsia="pt-BR" w:bidi="ar-SA"/>
              </w:rPr>
              <w:t>30</w:t>
            </w:r>
          </w:p>
        </w:tc>
        <w:tc>
          <w:tcPr>
            <w:tcW w:w="1134" w:type="dxa"/>
            <w:vAlign w:val="center"/>
          </w:tcPr>
          <w:p>
            <w:pPr>
              <w:jc w:val="center"/>
              <w:textAlignment w:val="center"/>
              <w:rPr>
                <w:rFonts w:ascii="Times New Roman" w:hAnsi="Times New Roman" w:eastAsia="Times New Roman" w:cs="Times New Roman"/>
                <w:sz w:val="24"/>
                <w:szCs w:val="24"/>
                <w:lang w:val="en-US" w:eastAsia="zh-CN" w:bidi="ar-SA"/>
              </w:rPr>
            </w:pPr>
            <w:r>
              <w:rPr>
                <w:rFonts w:ascii="Times New Roman" w:hAnsi="Times New Roman" w:eastAsia="SimSun" w:cs="Times New Roman"/>
                <w:bCs/>
                <w:color w:val="000000"/>
                <w:sz w:val="24"/>
                <w:lang w:val="en-US" w:eastAsia="zh-CN" w:bidi="ar"/>
              </w:rPr>
              <w:t xml:space="preserve">R$ </w:t>
            </w:r>
            <w:r>
              <w:rPr>
                <w:rFonts w:hint="default" w:ascii="Times New Roman" w:hAnsi="Times New Roman" w:eastAsia="SimSun" w:cs="Times New Roman"/>
                <w:bCs/>
                <w:color w:val="000000"/>
                <w:sz w:val="24"/>
                <w:lang w:val="pt-BR" w:eastAsia="zh-CN" w:bidi="ar"/>
              </w:rPr>
              <w:t>63,34</w:t>
            </w:r>
          </w:p>
        </w:tc>
        <w:tc>
          <w:tcPr>
            <w:tcW w:w="1634" w:type="dxa"/>
            <w:vAlign w:val="center"/>
          </w:tcPr>
          <w:p>
            <w:pPr>
              <w:jc w:val="center"/>
              <w:textAlignment w:val="center"/>
              <w:rPr>
                <w:rFonts w:ascii="Times New Roman" w:hAnsi="Times New Roman" w:eastAsia="Times New Roman" w:cs="Times New Roman"/>
                <w:sz w:val="24"/>
                <w:szCs w:val="24"/>
                <w:lang w:val="en-US" w:eastAsia="zh-CN" w:bidi="ar-SA"/>
              </w:rPr>
            </w:pPr>
            <w:r>
              <w:rPr>
                <w:rFonts w:ascii="Times New Roman" w:hAnsi="Times New Roman" w:eastAsia="SimSun" w:cs="Times New Roman"/>
                <w:color w:val="000000"/>
                <w:sz w:val="24"/>
                <w:lang w:val="en-US" w:eastAsia="zh-CN" w:bidi="ar"/>
              </w:rPr>
              <w:t xml:space="preserve">R$ </w:t>
            </w:r>
            <w:r>
              <w:rPr>
                <w:rFonts w:hint="default" w:ascii="Times New Roman" w:hAnsi="Times New Roman" w:eastAsia="SimSun" w:cs="Times New Roman"/>
                <w:color w:val="000000"/>
                <w:sz w:val="24"/>
                <w:lang w:val="pt-BR" w:eastAsia="zh-CN" w:bidi="ar"/>
              </w:rPr>
              <w:t>1</w:t>
            </w:r>
            <w:r>
              <w:rPr>
                <w:rFonts w:ascii="Times New Roman" w:hAnsi="Times New Roman" w:eastAsia="SimSun" w:cs="Times New Roman"/>
                <w:color w:val="000000"/>
                <w:sz w:val="24"/>
                <w:lang w:val="en-US" w:eastAsia="zh-CN" w:bidi="ar"/>
              </w:rPr>
              <w:t>.</w:t>
            </w:r>
            <w:r>
              <w:rPr>
                <w:rFonts w:hint="default" w:ascii="Times New Roman" w:hAnsi="Times New Roman" w:eastAsia="SimSun" w:cs="Times New Roman"/>
                <w:color w:val="000000"/>
                <w:sz w:val="24"/>
                <w:lang w:val="pt-BR" w:eastAsia="zh-CN" w:bidi="ar"/>
              </w:rPr>
              <w:t>900</w:t>
            </w:r>
            <w:r>
              <w:rPr>
                <w:rFonts w:ascii="Times New Roman" w:hAnsi="Times New Roman" w:eastAsia="SimSun" w:cs="Times New Roman"/>
                <w:color w:val="000000"/>
                <w:sz w:val="24"/>
                <w:lang w:val="en-US" w:eastAsia="zh-CN" w:bidi="ar"/>
              </w:rPr>
              <w:t>,20</w:t>
            </w:r>
          </w:p>
        </w:tc>
      </w:tr>
    </w:tbl>
    <w:p>
      <w:pPr>
        <w:pStyle w:val="7"/>
        <w:keepNext w:val="0"/>
        <w:widowControl/>
        <w:numPr>
          <w:ilvl w:val="2"/>
          <w:numId w:val="1"/>
        </w:numPr>
        <w:shd w:val="clear" w:color="auto" w:fill="auto"/>
        <w:spacing w:before="120" w:after="120"/>
        <w:ind w:left="-200" w:leftChars="-100" w:firstLine="0"/>
        <w:rPr>
          <w:rFonts w:ascii="Times New Roman" w:hAnsi="Times New Roman" w:cs="Times New Roman"/>
          <w:sz w:val="24"/>
        </w:rPr>
      </w:pPr>
      <w:r>
        <w:rPr>
          <w:rFonts w:ascii="Times New Roman" w:hAnsi="Times New Roman" w:cs="Times New Roman"/>
          <w:sz w:val="24"/>
        </w:rPr>
        <w:t>Havendo mais de item ou lote faculta-se ao fornecedor a participação em quantos forem de seu interesse. Entretanto, optando-se por participar de um lote, deve o fornecedor enviar proposta para todos os itens que o compõem.</w:t>
      </w:r>
    </w:p>
    <w:p>
      <w:pPr>
        <w:pStyle w:val="7"/>
        <w:keepNext w:val="0"/>
        <w:widowControl/>
        <w:numPr>
          <w:ilvl w:val="1"/>
          <w:numId w:val="1"/>
        </w:numPr>
        <w:shd w:val="clear" w:color="auto" w:fill="auto"/>
        <w:spacing w:before="120" w:after="120" w:line="240" w:lineRule="auto"/>
        <w:ind w:left="-200" w:leftChars="-100" w:firstLine="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sz w:val="24"/>
        </w:rPr>
        <w:t>O critério de julgamento adotado será o</w:t>
      </w:r>
      <w:r>
        <w:rPr>
          <w:rFonts w:ascii="Times New Roman" w:hAnsi="Times New Roman" w:cs="Times New Roman"/>
          <w:iCs/>
          <w:sz w:val="24"/>
        </w:rPr>
        <w:t xml:space="preserve"> menor preço,</w:t>
      </w:r>
      <w:r>
        <w:rPr>
          <w:rFonts w:ascii="Times New Roman" w:hAnsi="Times New Roman" w:cs="Times New Roman"/>
          <w:sz w:val="24"/>
        </w:rPr>
        <w:t xml:space="preserve"> observadas as exigências contidas neste Aviso de Contratação Direta e seus Anexos quanto às especificações do objeto.</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PARTICIPAÇÃO NA DISPENSA ELETRÔNICA.</w:t>
      </w:r>
    </w:p>
    <w:p>
      <w:pPr>
        <w:numPr>
          <w:ilvl w:val="1"/>
          <w:numId w:val="1"/>
        </w:numPr>
        <w:autoSpaceDE w:val="0"/>
        <w:snapToGrid w:val="0"/>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A participação na presente dispensa eletrônica se dará mediante </w:t>
      </w:r>
      <w:r>
        <w:rPr>
          <w:rFonts w:ascii="Times New Roman" w:hAnsi="Times New Roman" w:cs="Times New Roman"/>
          <w:bCs/>
          <w:sz w:val="24"/>
        </w:rPr>
        <w:t>Sistema de Dispensa Eletrônica</w:t>
      </w:r>
      <w:r>
        <w:rPr>
          <w:rFonts w:ascii="Times New Roman" w:hAnsi="Times New Roman" w:cs="Times New Roman"/>
          <w:sz w:val="24"/>
        </w:rPr>
        <w:t xml:space="preserve"> integrante do Sistema de Compras do Governo Federal – Comprasnet 4.0, disponível no </w:t>
      </w:r>
      <w:r>
        <w:rPr>
          <w:rFonts w:ascii="Times New Roman" w:hAnsi="Times New Roman" w:cs="Times New Roman"/>
          <w:bCs/>
          <w:sz w:val="24"/>
        </w:rPr>
        <w:t>endereço eletrônico.</w:t>
      </w:r>
    </w:p>
    <w:p>
      <w:pPr>
        <w:numPr>
          <w:ilvl w:val="2"/>
          <w:numId w:val="1"/>
        </w:numPr>
        <w:autoSpaceDE w:val="0"/>
        <w:snapToGrid w:val="0"/>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Os fornecedores deverão atender aos procedimentos previstos no Manual do Sistema de Dispensa Eletrônica, disponível no Portal de Compras do Governo Federal, para acesso ao sistema e operacionalização.</w:t>
      </w:r>
    </w:p>
    <w:p>
      <w:pPr>
        <w:numPr>
          <w:ilvl w:val="2"/>
          <w:numId w:val="1"/>
        </w:numPr>
        <w:autoSpaceDE w:val="0"/>
        <w:snapToGrid w:val="0"/>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Não poderão participar desta dispensa os fornecedores:</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não atendam às condições deste Aviso de Contratação Direta e seu(s) anexo(s);</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estrangeiros que não tenham representação legal no Brasil com poderes expressos para receber citação e responder administrativa ou judicialmente;</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se enquadrem nas seguintes vedações:</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autor do anteprojeto, do projeto básico ou do projeto executivo, pessoa física ou jurídica, quando a contratação versar sobre obra, serviços ou fornecimento de bens a ele relacionados;</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pessoa física ou jurídica que se encontre, ao tempo da contratação, impossibilitada de contratar em decorrência de sanção que lhe foi imposta;</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empresas controladoras, controladas ou coligadas, nos termos da </w:t>
      </w:r>
      <w:r>
        <w:fldChar w:fldCharType="begin"/>
      </w:r>
      <w:r>
        <w:instrText xml:space="preserve"> HYPERLINK "http://www.planalto.gov.br/ccivil_03/LEIS/L6404consol.htm" </w:instrText>
      </w:r>
      <w:r>
        <w:fldChar w:fldCharType="separate"/>
      </w:r>
      <w:r>
        <w:rPr>
          <w:rStyle w:val="4"/>
          <w:rFonts w:ascii="Times New Roman" w:hAnsi="Times New Roman" w:eastAsia="Calibri" w:cs="Times New Roman"/>
          <w:sz w:val="24"/>
        </w:rPr>
        <w:t>Lei nº 6.404, de 15 de dezembro de 1976</w:t>
      </w:r>
      <w:r>
        <w:rPr>
          <w:rStyle w:val="4"/>
          <w:rFonts w:ascii="Times New Roman" w:hAnsi="Times New Roman" w:eastAsia="Calibri" w:cs="Times New Roman"/>
          <w:sz w:val="24"/>
        </w:rPr>
        <w:fldChar w:fldCharType="end"/>
      </w:r>
      <w:r>
        <w:rPr>
          <w:rFonts w:ascii="Times New Roman" w:hAnsi="Times New Roman" w:cs="Times New Roman"/>
          <w:color w:val="000000"/>
          <w:sz w:val="24"/>
        </w:rPr>
        <w:t>, concorrendo entre si;</w:t>
      </w:r>
    </w:p>
    <w:p>
      <w:pPr>
        <w:numPr>
          <w:ilvl w:val="3"/>
          <w:numId w:val="3"/>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numPr>
          <w:ilvl w:val="3"/>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Equiparam-se aos autores do projeto as empresas integrantes do mesmo grupo econômico;</w:t>
      </w:r>
    </w:p>
    <w:p>
      <w:pPr>
        <w:numPr>
          <w:ilvl w:val="3"/>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numPr>
          <w:ilvl w:val="2"/>
          <w:numId w:val="1"/>
        </w:numPr>
        <w:spacing w:before="120" w:after="120"/>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sz w:val="24"/>
        </w:rPr>
        <w:t>organizações da Sociedade Civil de Interesse Público - OSCIP, atuando nessa condição (Acórdão nº 746/2014-TCU-Plenário); e</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INGRESSO NA DISPENSA ELETRÔNICA E CADASTRAMENTO DA PROPOSTA INICIAL</w:t>
      </w:r>
    </w:p>
    <w:p>
      <w:pPr>
        <w:numPr>
          <w:ilvl w:val="1"/>
          <w:numId w:val="1"/>
        </w:numPr>
        <w:autoSpaceDE w:val="0"/>
        <w:snapToGrid w:val="0"/>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O ingresso do fornecedor na disputa da dispensa eletrônica se dará com o cadastramento de sua proposta inicial, na forma deste item.</w:t>
      </w:r>
    </w:p>
    <w:p>
      <w:pPr>
        <w:numPr>
          <w:ilvl w:val="1"/>
          <w:numId w:val="1"/>
        </w:numPr>
        <w:autoSpaceDE w:val="0"/>
        <w:snapToGrid w:val="0"/>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Todas as especificações do </w:t>
      </w:r>
      <w:r>
        <w:rPr>
          <w:rFonts w:ascii="Times New Roman" w:hAnsi="Times New Roman" w:cs="Times New Roman"/>
          <w:color w:val="000000" w:themeColor="text1"/>
          <w:sz w:val="24"/>
          <w14:textFill>
            <w14:solidFill>
              <w14:schemeClr w14:val="tx1"/>
            </w14:solidFill>
          </w14:textFill>
        </w:rPr>
        <w:t>objeto</w:t>
      </w:r>
      <w:r>
        <w:rPr>
          <w:rFonts w:ascii="Times New Roman" w:hAnsi="Times New Roman" w:cs="Times New Roman"/>
          <w:sz w:val="24"/>
        </w:rPr>
        <w:t xml:space="preserve"> contidas na proposta, em especial o preço, vinculam a Contratada.</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Nos valores propostos estarão inclusos todos os custos operacionais, encargos previdenciários, trabalhistas, tributários, comerciais e quaisquer outros que incidam direta ou indiretamente na prestação dos serviços;</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Os preços ofertados, tanto na proposta inicial, quanto na etapa de lances, serão de exclusiva responsabilidade do fornecedor, não lhe assistindo o direito de pleitear qualquer alteração, sob alegação de erro, omissão ou qualquer outro pretexto.</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Se o regime tributário da empresa implicar o recolhimento de tributos em percentuais variáveis, a cotação adequada será a que corresponde à média dos efetivos recolhimentos da empresa nos últimos doze meses. </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Independentemente do percentual de tributo inserido na planilha, no pagamento serão retidos na fonte os percentuais estabelecidos na legislação vigente.</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A apresentação das propostas implica obrigatoriedade do cumprimento das disposições nelas contidas, em conformidade com o que dispõe o </w:t>
      </w:r>
      <w:r>
        <w:rPr>
          <w:rFonts w:ascii="Times New Roman" w:hAnsi="Times New Roman" w:cs="Times New Roman"/>
          <w:bCs/>
          <w:sz w:val="24"/>
        </w:rPr>
        <w:t>Termo de Referência</w:t>
      </w:r>
      <w:r>
        <w:rPr>
          <w:rFonts w:ascii="Times New Roman" w:hAnsi="Times New Roman" w:cs="Times New Roman"/>
          <w:b/>
          <w:bCs/>
          <w:i/>
          <w:sz w:val="24"/>
        </w:rPr>
        <w:t xml:space="preserve">, </w:t>
      </w:r>
      <w:r>
        <w:rPr>
          <w:rFonts w:ascii="Times New Roman" w:hAnsi="Times New Roman" w:cs="Times New Roman"/>
          <w:sz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sz w:val="24"/>
        </w:rPr>
        <w:t xml:space="preserve">Uma vez enviada a proposta no sistema, os fornecedores </w:t>
      </w:r>
      <w:r>
        <w:rPr>
          <w:rFonts w:ascii="Times New Roman" w:hAnsi="Times New Roman" w:cs="Times New Roman"/>
          <w:bCs/>
          <w:sz w:val="24"/>
        </w:rPr>
        <w:t>NÃO</w:t>
      </w:r>
      <w:r>
        <w:rPr>
          <w:rFonts w:ascii="Times New Roman" w:hAnsi="Times New Roman" w:cs="Times New Roman"/>
          <w:sz w:val="24"/>
        </w:rPr>
        <w:t xml:space="preserve"> poderão retirá-la, substituí-la ou modificá-la</w:t>
      </w:r>
      <w:r>
        <w:rPr>
          <w:rFonts w:ascii="Times New Roman" w:hAnsi="Times New Roman" w:cs="Times New Roman"/>
          <w:color w:val="000000"/>
          <w:sz w:val="24"/>
        </w:rPr>
        <w:t>;</w:t>
      </w:r>
    </w:p>
    <w:p>
      <w:pPr>
        <w:numPr>
          <w:ilvl w:val="1"/>
          <w:numId w:val="1"/>
        </w:numPr>
        <w:spacing w:before="120" w:after="120" w:line="276" w:lineRule="auto"/>
        <w:ind w:left="-200" w:leftChars="-100" w:firstLine="0"/>
        <w:jc w:val="both"/>
        <w:rPr>
          <w:rFonts w:ascii="Times New Roman" w:hAnsi="Times New Roman" w:cs="Times New Roman"/>
          <w:bCs/>
          <w:vanish/>
          <w:color w:val="000000"/>
          <w:sz w:val="24"/>
        </w:rPr>
      </w:pPr>
      <w:r>
        <w:rPr>
          <w:rFonts w:ascii="Times New Roman" w:hAnsi="Times New Roman" w:cs="Times New Roman"/>
          <w:color w:val="000000"/>
          <w:sz w:val="24"/>
        </w:rPr>
        <w:t xml:space="preserve">No cadastramento da proposta inicial, o fornecedor deverá, também, assinalar “sim” ou “não” em campo </w:t>
      </w:r>
      <w:r>
        <w:rPr>
          <w:rFonts w:ascii="Times New Roman" w:hAnsi="Times New Roman" w:cs="Times New Roman"/>
          <w:sz w:val="24"/>
        </w:rPr>
        <w:t>próprio</w:t>
      </w:r>
      <w:r>
        <w:rPr>
          <w:rFonts w:ascii="Times New Roman" w:hAnsi="Times New Roman" w:cs="Times New Roman"/>
          <w:color w:val="000000"/>
          <w:sz w:val="24"/>
        </w:rPr>
        <w:t xml:space="preserve"> do sistema eletrônico, às seguintes declarações:</w:t>
      </w:r>
      <w:r>
        <w:rPr>
          <w:rFonts w:ascii="Times New Roman" w:hAnsi="Times New Roman" w:eastAsia="Zurich BT" w:cs="Times New Roman"/>
          <w:color w:val="000000"/>
          <w:sz w:val="24"/>
        </w:rPr>
        <w:t xml:space="preserve"> </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inexistem fatos impeditivos para sua habilitação no certame, ciente da obrigatoriedade de declarar ocorrências posteriores;</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 xml:space="preserve">que </w:t>
      </w:r>
      <w:r>
        <w:rPr>
          <w:rFonts w:ascii="Times New Roman" w:hAnsi="Times New Roman" w:cs="Times New Roman"/>
          <w:color w:val="000000"/>
          <w:sz w:val="24"/>
        </w:rPr>
        <w:t>cumpre</w:t>
      </w:r>
      <w:r>
        <w:rPr>
          <w:rFonts w:ascii="Times New Roman" w:hAnsi="Times New Roman" w:cs="Times New Roman"/>
          <w:color w:val="000000" w:themeColor="text1"/>
          <w:sz w:val="24"/>
          <w14:textFill>
            <w14:solidFill>
              <w14:schemeClr w14:val="tx1"/>
            </w14:solidFill>
          </w14:textFill>
        </w:rPr>
        <w:t xml:space="preserve"> os requisitos estabelecidos no artigo 3° da Lei Complementar nº 123, de 2006, estando apto a usufruir do tratamento favorecido estabelecido em seus arts. 42 a 49.</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está ciente e concorda com as condições contidas no Aviso de Contratação Direta e seus anexos;</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assume a responsabilidade pelas transações que forem efetuadas no sistema, assumindo como firmes e verdadeiras;</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cumpre as exigências de reserva de cargos para pessoa com deficiência e para reabilitado da Previdência Social, de que trata o art. 93 da Lei nº 8.213/91.</w:t>
      </w:r>
    </w:p>
    <w:p>
      <w:pPr>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que não emprega menor de 18 anos em trabalho noturno, perigoso ou insalubre e não emprega menor de 16 anos, salvo menor, a partir de 14 anos, na condição de aprendiz, nos termos do artigo 7°, XXXIII, da Constituição;</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Fica facultado ao fornecedor, ao cadastrar sua proposta inicial, a parametrização de valor final mínimo, com o registro do seu lance final aceitável (menor preço ou maior desconto, conforme o caso).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Feita essa opção os lances serão enviados automaticamente pelo sistema, respeitados os limites cadastrados pelo fornecedor e o intervalo mínimo entre lances previsto neste aviso. </w:t>
      </w:r>
    </w:p>
    <w:p>
      <w:pPr>
        <w:numPr>
          <w:ilvl w:val="3"/>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Sem prejuízo do disposto acima, os lances poderão ser enviados manualmente, na forma da seção respectiva deste Aviso de Contratação Direta;</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 valor final mínimo poderá ser alterado pelo fornecedor durante a fase de disputa, desde que não assuma valor superior a lance já registrado por ele no sistema.</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FASE DE LANCES</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 xml:space="preserve">A partir das 8:00h da data estabelecida neste Aviso de Contratação Direta, a sessão pública será automaticamente aberta pelo sistema para o envio de lances públicos e sucessivos, </w:t>
      </w:r>
      <w:r>
        <w:rPr>
          <w:rFonts w:ascii="Times New Roman" w:hAnsi="Times New Roman" w:cs="Times New Roman"/>
          <w:bCs/>
          <w:sz w:val="24"/>
          <w:lang w:eastAsia="en-US"/>
        </w:rPr>
        <w:t>exclusivamente por meio do sistema eletrônico</w:t>
      </w:r>
      <w:r>
        <w:rPr>
          <w:rFonts w:ascii="Times New Roman" w:hAnsi="Times New Roman" w:cs="Times New Roman"/>
          <w:sz w:val="24"/>
          <w:lang w:eastAsia="en-US"/>
        </w:rPr>
        <w:t xml:space="preserve">, </w:t>
      </w:r>
      <w:r>
        <w:rPr>
          <w:rFonts w:ascii="Times New Roman" w:hAnsi="Times New Roman" w:cs="Times New Roman"/>
          <w:color w:val="000000" w:themeColor="text1"/>
          <w:sz w:val="24"/>
          <w:lang w:eastAsia="en-US"/>
          <w14:textFill>
            <w14:solidFill>
              <w14:schemeClr w14:val="tx1"/>
            </w14:solidFill>
          </w14:textFill>
        </w:rPr>
        <w:t>sendo encerrado no horário de finalização de lances também já previsto neste aviso.</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 xml:space="preserve">Iniciada a etapa competitiva, os fornecedores deverão encaminhar lances exclusivamente por meio de sistema eletrônico, sendo imediatamente informados do seu recebimento e do valor consignado no registro. </w:t>
      </w:r>
    </w:p>
    <w:p>
      <w:pPr>
        <w:pStyle w:val="8"/>
        <w:numPr>
          <w:ilvl w:val="2"/>
          <w:numId w:val="1"/>
        </w:numPr>
        <w:spacing w:before="120" w:after="120" w:line="276" w:lineRule="auto"/>
        <w:ind w:left="-200" w:leftChars="-100" w:firstLine="0"/>
        <w:jc w:val="both"/>
        <w:rPr>
          <w:rFonts w:ascii="Times New Roman" w:hAnsi="Times New Roman" w:cs="Times New Roman"/>
          <w:sz w:val="24"/>
          <w:lang w:eastAsia="en-US"/>
        </w:rPr>
      </w:pPr>
      <w:r>
        <w:rPr>
          <w:rFonts w:ascii="Times New Roman" w:hAnsi="Times New Roman" w:cs="Times New Roman"/>
          <w:iCs/>
          <w:sz w:val="24"/>
        </w:rPr>
        <w:t>O lance deverá ser ofertado pelo valor total do item.</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O fornecedor somente poderá oferecer valor inferior ou maior percentual de desconto em relação ao último lance por ele ofertado e registrado pelo sistema.</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8"/>
        <w:numPr>
          <w:ilvl w:val="2"/>
          <w:numId w:val="1"/>
        </w:numPr>
        <w:spacing w:before="120" w:after="120" w:line="276" w:lineRule="auto"/>
        <w:ind w:left="-200" w:leftChars="-100" w:firstLine="0"/>
        <w:jc w:val="both"/>
        <w:rPr>
          <w:rFonts w:ascii="Times New Roman" w:hAnsi="Times New Roman" w:cs="Times New Roman"/>
          <w:sz w:val="24"/>
          <w:lang w:eastAsia="en-US"/>
        </w:rPr>
      </w:pPr>
      <w:r>
        <w:rPr>
          <w:rFonts w:ascii="Times New Roman" w:hAnsi="Times New Roman" w:cs="Times New Roman"/>
          <w:sz w:val="24"/>
        </w:rPr>
        <w:t>O intervalo mínimo de diferença de valores ou percentuais entre os lances, que incidirá tanto em relação aos lances intermediários quanto em relação ao que cobrir a melhor oferta é de</w:t>
      </w:r>
      <w:r>
        <w:rPr>
          <w:rFonts w:ascii="Times New Roman" w:hAnsi="Times New Roman" w:cs="Times New Roman"/>
          <w:iCs/>
          <w:sz w:val="24"/>
        </w:rPr>
        <w:t xml:space="preserve"> R$0,10 (dez centavos).</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Havendo lances iguais ao menor já ofertado, prevalecerá aquele que for recebido e registrado primeiro no sistema.</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Caso o fornecedor não apresente lances, concorrerá com o valor de sua proposta.</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Durante o procedimento, os fornecedores serão informados, em tempo real, do valor do menor lance registrado, vedada a identificação do fornecedor.</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Imediatamente após o término do prazo estabelecido para a fase de lances, haverá o seu encerramento, com o ordenamento e divulgação dos lances, pelo sistema, em ordem crescente de classificação.</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lang w:eastAsia="en-US"/>
          <w14:textFill>
            <w14:solidFill>
              <w14:schemeClr w14:val="tx1"/>
            </w14:solidFill>
          </w14:textFill>
        </w:rPr>
        <w:t>O encerramento da fase de lances ocorrerá de forma automática pontualmente no horário indicado, sem qualquer possibilidade de prorrogação e não havendo tempo aleatório ou mecanismo similar.</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JULGAMENTO DAS PROPOSTAS DE PREÇO</w:t>
      </w:r>
    </w:p>
    <w:p>
      <w:pPr>
        <w:pStyle w:val="8"/>
        <w:numPr>
          <w:ilvl w:val="1"/>
          <w:numId w:val="1"/>
        </w:numPr>
        <w:spacing w:line="276" w:lineRule="auto"/>
        <w:ind w:left="431" w:hanging="431"/>
        <w:jc w:val="both"/>
        <w:rPr>
          <w:rFonts w:ascii="Times New Roman" w:hAnsi="Times New Roman" w:cs="Times New Roman"/>
          <w:b/>
          <w:sz w:val="24"/>
          <w:lang w:eastAsia="ar-SA"/>
        </w:rPr>
      </w:pPr>
      <w:r>
        <w:rPr>
          <w:rFonts w:ascii="Times New Roman" w:hAnsi="Times New Roman" w:cs="Times New Roman"/>
          <w:sz w:val="24"/>
          <w:lang w:eastAsia="ar-SA"/>
        </w:rPr>
        <w:t xml:space="preserve">Os </w:t>
      </w:r>
      <w:r>
        <w:rPr>
          <w:rFonts w:ascii="Times New Roman" w:hAnsi="Times New Roman" w:cs="Times New Roman"/>
          <w:color w:val="000000"/>
          <w:sz w:val="24"/>
        </w:rPr>
        <w:t>documentos</w:t>
      </w:r>
      <w:r>
        <w:rPr>
          <w:rFonts w:ascii="Times New Roman" w:hAnsi="Times New Roman" w:cs="Times New Roman"/>
          <w:sz w:val="24"/>
          <w:lang w:eastAsia="ar-SA"/>
        </w:rPr>
        <w:t xml:space="preserve"> a serem exigidos para fins de habilitação constam do </w:t>
      </w:r>
      <w:r>
        <w:rPr>
          <w:rFonts w:ascii="Times New Roman" w:hAnsi="Times New Roman" w:cs="Times New Roman"/>
          <w:b/>
          <w:sz w:val="24"/>
          <w:lang w:eastAsia="ar-SA"/>
        </w:rPr>
        <w:t xml:space="preserve">ANEXO I – DOCUMENTAÇÃO EXIGIDA PARA HABILITAÇÃO </w:t>
      </w:r>
      <w:r>
        <w:rPr>
          <w:rFonts w:ascii="Times New Roman" w:hAnsi="Times New Roman" w:cs="Times New Roman"/>
          <w:sz w:val="24"/>
          <w:lang w:eastAsia="ar-SA"/>
        </w:rPr>
        <w:t>deste aviso e serão solicitados do fornecedor mais bem classificado da fase de lances.</w:t>
      </w:r>
    </w:p>
    <w:p>
      <w:pPr>
        <w:pStyle w:val="8"/>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Encerrada a fase de lances, será verificada a conformidade da proposta classificada em primeiro lugar quanto à adequação do objeto e à compatibilidade do preço em relação ao estipulado para a contratação.</w:t>
      </w:r>
    </w:p>
    <w:p>
      <w:pPr>
        <w:pStyle w:val="8"/>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No caso de o preço da proposta vencedora estar acima do estimado pela Administração, poderá haver a negociação de condições mais vantajosas.</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Neste caso, será encaminhada contraproposta ao fornecedor que tenha apresentado o melhor preço, para que seja obtida melhor proposta com preço compatível ao estimado pela Administração.</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Em qualquer caso, concluída a negociação, o resultado será registrado na ata do procedimento da dispensa eletrônica.</w:t>
      </w:r>
    </w:p>
    <w:p>
      <w:pPr>
        <w:pStyle w:val="8"/>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Estando o preço compatível, será solicitado o envio da proposta e, se necessário, de documentos complementares, adequada ao último lance.</w:t>
      </w:r>
    </w:p>
    <w:p>
      <w:pPr>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 xml:space="preserve">O prazo de validade </w:t>
      </w:r>
      <w:r>
        <w:rPr>
          <w:rFonts w:ascii="Times New Roman" w:hAnsi="Times New Roman" w:cs="Times New Roman"/>
          <w:sz w:val="24"/>
        </w:rPr>
        <w:t>da</w:t>
      </w:r>
      <w:r>
        <w:rPr>
          <w:rFonts w:ascii="Times New Roman" w:hAnsi="Times New Roman" w:cs="Times New Roman"/>
          <w:color w:val="000000" w:themeColor="text1"/>
          <w:sz w:val="24"/>
          <w14:textFill>
            <w14:solidFill>
              <w14:schemeClr w14:val="tx1"/>
            </w14:solidFill>
          </w14:textFill>
        </w:rPr>
        <w:t xml:space="preserve"> proposta não será inferior a 60</w:t>
      </w:r>
      <w:r>
        <w:rPr>
          <w:rFonts w:ascii="Times New Roman" w:hAnsi="Times New Roman" w:cs="Times New Roman"/>
          <w:color w:val="FF0000"/>
          <w:sz w:val="24"/>
        </w:rPr>
        <w:t xml:space="preserve"> </w:t>
      </w:r>
      <w:r>
        <w:rPr>
          <w:rFonts w:ascii="Times New Roman" w:hAnsi="Times New Roman" w:cs="Times New Roman"/>
          <w:sz w:val="24"/>
        </w:rPr>
        <w:t xml:space="preserve">(sessenta) </w:t>
      </w:r>
      <w:r>
        <w:rPr>
          <w:rFonts w:ascii="Times New Roman" w:hAnsi="Times New Roman" w:cs="Times New Roman"/>
          <w:color w:val="000000" w:themeColor="text1"/>
          <w:sz w:val="24"/>
          <w14:textFill>
            <w14:solidFill>
              <w14:schemeClr w14:val="tx1"/>
            </w14:solidFill>
          </w14:textFill>
        </w:rPr>
        <w:t>dias</w:t>
      </w:r>
      <w:r>
        <w:rPr>
          <w:rFonts w:ascii="Times New Roman" w:hAnsi="Times New Roman" w:cs="Times New Roman"/>
          <w:b/>
          <w:bCs/>
          <w:color w:val="000000" w:themeColor="text1"/>
          <w:sz w:val="24"/>
          <w14:textFill>
            <w14:solidFill>
              <w14:schemeClr w14:val="tx1"/>
            </w14:solidFill>
          </w14:textFill>
        </w:rPr>
        <w:t>,</w:t>
      </w:r>
      <w:r>
        <w:rPr>
          <w:rFonts w:ascii="Times New Roman" w:hAnsi="Times New Roman" w:cs="Times New Roman"/>
          <w:color w:val="000000" w:themeColor="text1"/>
          <w:sz w:val="24"/>
          <w14:textFill>
            <w14:solidFill>
              <w14:schemeClr w14:val="tx1"/>
            </w14:solidFill>
          </w14:textFill>
        </w:rPr>
        <w:t xml:space="preserve"> a contar da data de sua apresentação.</w:t>
      </w:r>
    </w:p>
    <w:p>
      <w:pPr>
        <w:pStyle w:val="8"/>
        <w:numPr>
          <w:ilvl w:val="1"/>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 xml:space="preserve">Será desclassificada a proposta vencedora que: </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sz w:val="24"/>
        </w:rPr>
        <w:t>contiver vícios insanáveis</w:t>
      </w:r>
      <w:r>
        <w:rPr>
          <w:rFonts w:ascii="Times New Roman" w:hAnsi="Times New Roman" w:cs="Times New Roman"/>
          <w:iCs/>
          <w:color w:val="000000" w:themeColor="text1"/>
          <w:sz w:val="24"/>
          <w14:textFill>
            <w14:solidFill>
              <w14:schemeClr w14:val="tx1"/>
            </w14:solidFill>
          </w14:textFill>
        </w:rPr>
        <w:t>;</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sz w:val="24"/>
        </w:rPr>
        <w:t>não obedecer às especificações técnicas pormenorizadas neste aviso ou em seus anexos</w:t>
      </w:r>
      <w:r>
        <w:rPr>
          <w:rFonts w:ascii="Times New Roman" w:hAnsi="Times New Roman" w:cs="Times New Roman"/>
          <w:iCs/>
          <w:color w:val="000000" w:themeColor="text1"/>
          <w:sz w:val="24"/>
          <w14:textFill>
            <w14:solidFill>
              <w14:schemeClr w14:val="tx1"/>
            </w14:solidFill>
          </w14:textFill>
        </w:rPr>
        <w:t>;</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sz w:val="24"/>
        </w:rPr>
        <w:t>apresentar preços inexequíveis ou permanecerem acima do preço máximo definido para a contratação;</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sz w:val="24"/>
        </w:rPr>
        <w:t>não tiverem sua exequibilidade demonstrada, quando exigido pela Administração</w:t>
      </w:r>
      <w:r>
        <w:rPr>
          <w:rFonts w:ascii="Times New Roman" w:hAnsi="Times New Roman" w:cs="Times New Roman"/>
          <w:iCs/>
          <w:color w:val="000000" w:themeColor="text1"/>
          <w:sz w:val="24"/>
          <w14:textFill>
            <w14:solidFill>
              <w14:schemeClr w14:val="tx1"/>
            </w14:solidFill>
          </w14:textFill>
        </w:rPr>
        <w:t>;</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sz w:val="24"/>
        </w:rPr>
        <w:t>apresentar desconformidade com quaisquer outras exigências deste aviso ou seus anexos, desde que insanável.</w:t>
      </w:r>
    </w:p>
    <w:p>
      <w:pPr>
        <w:pStyle w:val="8"/>
        <w:numPr>
          <w:ilvl w:val="1"/>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Quando</w:t>
      </w:r>
      <w:r>
        <w:rPr>
          <w:rFonts w:ascii="Times New Roman" w:hAnsi="Times New Roman" w:cs="Times New Roman"/>
          <w:sz w:val="24"/>
        </w:rPr>
        <w:t xml:space="preserve"> o fornecedor não conseguir comprovar que possui ou possuirá recursos suficientes para executar a contento o objeto, será considerada inexequível a proposta de preços ou menor lance que:</w:t>
      </w:r>
    </w:p>
    <w:p>
      <w:pPr>
        <w:pStyle w:val="8"/>
        <w:numPr>
          <w:ilvl w:val="2"/>
          <w:numId w:val="1"/>
        </w:numPr>
        <w:spacing w:before="120" w:after="120" w:line="276" w:lineRule="auto"/>
        <w:ind w:left="-200" w:leftChars="-100" w:firstLine="0"/>
        <w:jc w:val="both"/>
        <w:rPr>
          <w:rFonts w:ascii="Times New Roman" w:hAnsi="Times New Roman" w:cs="Times New Roman"/>
          <w:i/>
          <w:color w:val="000000" w:themeColor="text1"/>
          <w:sz w:val="24"/>
          <w14:textFill>
            <w14:solidFill>
              <w14:schemeClr w14:val="tx1"/>
            </w14:solidFill>
          </w14:textFill>
        </w:rPr>
      </w:pPr>
      <w:r>
        <w:rPr>
          <w:rFonts w:ascii="Times New Roman" w:hAnsi="Times New Roman" w:cs="Times New Roman"/>
          <w:sz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sz w:val="24"/>
        </w:rPr>
        <w:t>apresentar um ou mais valores da planilha de custo que sejam inferiores àqueles fixados em instrumentos de caráter normativo obrigatório, tais como leis, medidas provisórias e convenções coletivas de trabalho vigentes.</w:t>
      </w:r>
    </w:p>
    <w:p>
      <w:pPr>
        <w:pStyle w:val="8"/>
        <w:numPr>
          <w:ilvl w:val="1"/>
          <w:numId w:val="1"/>
        </w:numPr>
        <w:spacing w:before="120" w:after="120" w:line="276" w:lineRule="auto"/>
        <w:ind w:left="-200" w:leftChars="-100" w:right="-15"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 xml:space="preserve">Se houver indícios de inexequibilidade da proposta de preço, ou em caso da necessidade de esclarecimentos </w:t>
      </w:r>
      <w:r>
        <w:rPr>
          <w:rFonts w:ascii="Times New Roman" w:hAnsi="Times New Roman" w:cs="Times New Roman"/>
          <w:sz w:val="24"/>
        </w:rPr>
        <w:t>complementares</w:t>
      </w:r>
      <w:r>
        <w:rPr>
          <w:rFonts w:ascii="Times New Roman" w:hAnsi="Times New Roman" w:cs="Times New Roman"/>
          <w:color w:val="000000" w:themeColor="text1"/>
          <w:sz w:val="24"/>
          <w:lang w:eastAsia="en-US"/>
          <w14:textFill>
            <w14:solidFill>
              <w14:schemeClr w14:val="tx1"/>
            </w14:solidFill>
          </w14:textFill>
        </w:rPr>
        <w:t xml:space="preserve">, poderão ser efetuadas diligências, para que a empresa comprove a exequibilidade da proposta.  </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 xml:space="preserve">Erros no preenchimento da planilha não constituem motivo para a desclassificação da proposta. A planilha </w:t>
      </w:r>
      <w:r>
        <w:rPr>
          <w:rFonts w:ascii="Times New Roman" w:hAnsi="Times New Roman" w:cs="Times New Roman"/>
          <w:sz w:val="24"/>
        </w:rPr>
        <w:t>poderá</w:t>
      </w:r>
      <w:r>
        <w:rPr>
          <w:rFonts w:ascii="Times New Roman" w:hAnsi="Times New Roman" w:cs="Times New Roman"/>
          <w:color w:val="000000" w:themeColor="text1"/>
          <w:sz w:val="24"/>
          <w:lang w:eastAsia="en-US"/>
          <w14:textFill>
            <w14:solidFill>
              <w14:schemeClr w14:val="tx1"/>
            </w14:solidFill>
          </w14:textFill>
        </w:rPr>
        <w:t xml:space="preserve"> ser ajustada pelo fornecedor, no prazo indicado pelo sistema, desde que não haja majoração do preço.</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O ajuste de que trata este dispositivo se limita a sanar erros ou falhas que não alterem a substância das propostas;</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Considera-se erro no preenchimento da planilha passível de correção a indicação de recolhimento de impostos e contribuições na forma do Simples Nacional, quando não cabível esse regime.</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Para fins de análise da proposta quanto ao cumprimento das especificações do objeto, poderá ser colhida a manifestação escrita do setor requisitante do serviço ou da área especializada no objeto.</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Se a proposta ou lance vencedor for desclassificado, será examinada a proposta ou lance subsequente, e, assim sucessivamente, na ordem de classificação.</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Havendo necessidade, a sessão será suspensa, informando-se no “chat” a nova data e horário para a sua continuidade.</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lang w:eastAsia="en-US"/>
          <w14:textFill>
            <w14:solidFill>
              <w14:schemeClr w14:val="tx1"/>
            </w14:solidFill>
          </w14:textFill>
        </w:rPr>
      </w:pPr>
      <w:r>
        <w:rPr>
          <w:rFonts w:ascii="Times New Roman" w:hAnsi="Times New Roman" w:cs="Times New Roman"/>
          <w:color w:val="000000" w:themeColor="text1"/>
          <w:sz w:val="24"/>
          <w:lang w:eastAsia="en-US"/>
          <w14:textFill>
            <w14:solidFill>
              <w14:schemeClr w14:val="tx1"/>
            </w14:solidFill>
          </w14:textFill>
        </w:rPr>
        <w:t>Encerrada a análise quanto à aceitação da proposta, se iniciará a fase de habilitação, observado o disposto neste Aviso de Contratação Direta. </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HABILITAÇÃO</w:t>
      </w:r>
    </w:p>
    <w:p>
      <w:pPr>
        <w:pStyle w:val="8"/>
        <w:numPr>
          <w:ilvl w:val="1"/>
          <w:numId w:val="1"/>
        </w:numPr>
        <w:spacing w:before="120" w:after="120" w:line="276" w:lineRule="auto"/>
        <w:ind w:left="-200" w:leftChars="-100" w:firstLine="0"/>
        <w:jc w:val="both"/>
        <w:rPr>
          <w:rFonts w:ascii="Times New Roman" w:hAnsi="Times New Roman" w:cs="Times New Roman"/>
          <w:b/>
          <w:sz w:val="24"/>
          <w:lang w:eastAsia="ar-SA"/>
        </w:rPr>
      </w:pPr>
      <w:r>
        <w:rPr>
          <w:rFonts w:ascii="Times New Roman" w:hAnsi="Times New Roman" w:cs="Times New Roman"/>
          <w:sz w:val="24"/>
          <w:lang w:eastAsia="ar-SA"/>
        </w:rPr>
        <w:t xml:space="preserve">Como </w:t>
      </w:r>
      <w:r>
        <w:rPr>
          <w:rFonts w:ascii="Times New Roman" w:hAnsi="Times New Roman" w:cs="Times New Roman"/>
          <w:color w:val="000000"/>
          <w:sz w:val="24"/>
        </w:rPr>
        <w:t>condição</w:t>
      </w:r>
      <w:r>
        <w:rPr>
          <w:rFonts w:ascii="Times New Roman" w:hAnsi="Times New Roman" w:cs="Times New Roman"/>
          <w:sz w:val="24"/>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8"/>
        <w:spacing w:before="120" w:after="120" w:line="276" w:lineRule="auto"/>
        <w:ind w:left="-200" w:leftChars="-100"/>
        <w:jc w:val="both"/>
        <w:rPr>
          <w:rFonts w:ascii="Times New Roman" w:hAnsi="Times New Roman" w:cs="Times New Roman"/>
          <w:sz w:val="24"/>
          <w:lang w:eastAsia="ar-SA"/>
        </w:rPr>
      </w:pPr>
      <w:r>
        <w:rPr>
          <w:rFonts w:ascii="Times New Roman" w:hAnsi="Times New Roman" w:cs="Times New Roman"/>
          <w:sz w:val="24"/>
          <w:lang w:eastAsia="ar-SA"/>
        </w:rPr>
        <w:t xml:space="preserve">a) SICAF;  </w:t>
      </w:r>
    </w:p>
    <w:p>
      <w:pPr>
        <w:pStyle w:val="8"/>
        <w:spacing w:before="120" w:after="120" w:line="276" w:lineRule="auto"/>
        <w:ind w:left="-200" w:leftChars="-100"/>
        <w:jc w:val="both"/>
        <w:rPr>
          <w:rFonts w:ascii="Times New Roman" w:hAnsi="Times New Roman" w:cs="Times New Roman"/>
          <w:sz w:val="24"/>
          <w:lang w:eastAsia="ar-SA"/>
        </w:rPr>
      </w:pPr>
      <w:r>
        <w:rPr>
          <w:rFonts w:ascii="Times New Roman" w:hAnsi="Times New Roman" w:cs="Times New Roman"/>
          <w:sz w:val="24"/>
          <w:lang w:eastAsia="ar-SA"/>
        </w:rPr>
        <w:t>b) Cadastro Nacional de Empresas Inidôneas e Suspensas - CEIS, mantido pela Controladoria-Geral da União (</w:t>
      </w:r>
      <w:r>
        <w:fldChar w:fldCharType="begin"/>
      </w:r>
      <w:r>
        <w:instrText xml:space="preserve"> HYPERLINK "http://www.portaldatransparencia.gov.br/ceis" </w:instrText>
      </w:r>
      <w:r>
        <w:fldChar w:fldCharType="separate"/>
      </w:r>
      <w:r>
        <w:rPr>
          <w:rStyle w:val="4"/>
          <w:rFonts w:ascii="Times New Roman" w:hAnsi="Times New Roman" w:eastAsia="Calibri" w:cs="Times New Roman"/>
          <w:sz w:val="24"/>
          <w:lang w:eastAsia="ar-SA"/>
        </w:rPr>
        <w:t>www.portaldatransparencia.gov.br/ceis</w:t>
      </w:r>
      <w:r>
        <w:rPr>
          <w:rStyle w:val="4"/>
          <w:rFonts w:ascii="Times New Roman" w:hAnsi="Times New Roman" w:eastAsia="Calibri" w:cs="Times New Roman"/>
          <w:sz w:val="24"/>
          <w:lang w:eastAsia="ar-SA"/>
        </w:rPr>
        <w:fldChar w:fldCharType="end"/>
      </w:r>
      <w:r>
        <w:rPr>
          <w:rFonts w:ascii="Times New Roman" w:hAnsi="Times New Roman" w:cs="Times New Roman"/>
          <w:sz w:val="24"/>
          <w:lang w:eastAsia="ar-SA"/>
        </w:rPr>
        <w:t xml:space="preserve">);  </w:t>
      </w:r>
    </w:p>
    <w:p>
      <w:pPr>
        <w:pStyle w:val="8"/>
        <w:spacing w:before="120" w:after="120" w:line="276" w:lineRule="auto"/>
        <w:ind w:left="-200" w:leftChars="-100"/>
        <w:jc w:val="both"/>
        <w:rPr>
          <w:rFonts w:ascii="Times New Roman" w:hAnsi="Times New Roman" w:cs="Times New Roman"/>
          <w:sz w:val="24"/>
          <w:lang w:eastAsia="ar-SA"/>
        </w:rPr>
      </w:pPr>
      <w:r>
        <w:rPr>
          <w:rFonts w:ascii="Times New Roman" w:hAnsi="Times New Roman" w:cs="Times New Roman"/>
          <w:sz w:val="24"/>
          <w:lang w:eastAsia="ar-SA"/>
        </w:rPr>
        <w:t>c) Cadastro Nacional de Condenações Cíveis por Atos de Improbidade Administrativa, mantido pelo Conselho Nacional de Justiça (</w:t>
      </w:r>
      <w:r>
        <w:fldChar w:fldCharType="begin"/>
      </w:r>
      <w:r>
        <w:instrText xml:space="preserve"> HYPERLINK "http://www.cnj.jus.br/improbidade_adm/consultar_requerido.php" </w:instrText>
      </w:r>
      <w:r>
        <w:fldChar w:fldCharType="separate"/>
      </w:r>
      <w:r>
        <w:rPr>
          <w:rStyle w:val="4"/>
          <w:rFonts w:ascii="Times New Roman" w:hAnsi="Times New Roman" w:eastAsia="Calibri" w:cs="Times New Roman"/>
          <w:sz w:val="24"/>
          <w:lang w:eastAsia="ar-SA"/>
        </w:rPr>
        <w:t>www.cnj.jus.br/improbidade_adm/consultar_requerido.php</w:t>
      </w:r>
      <w:r>
        <w:rPr>
          <w:rStyle w:val="4"/>
          <w:rFonts w:ascii="Times New Roman" w:hAnsi="Times New Roman" w:eastAsia="Calibri" w:cs="Times New Roman"/>
          <w:sz w:val="24"/>
          <w:lang w:eastAsia="ar-SA"/>
        </w:rPr>
        <w:fldChar w:fldCharType="end"/>
      </w:r>
      <w:r>
        <w:rPr>
          <w:rFonts w:ascii="Times New Roman" w:hAnsi="Times New Roman" w:cs="Times New Roman"/>
          <w:sz w:val="24"/>
          <w:lang w:eastAsia="ar-SA"/>
        </w:rPr>
        <w:t xml:space="preserve">).  </w:t>
      </w:r>
    </w:p>
    <w:p>
      <w:pPr>
        <w:pStyle w:val="8"/>
        <w:spacing w:before="120" w:after="120" w:line="276" w:lineRule="auto"/>
        <w:ind w:left="-200" w:leftChars="-100"/>
        <w:jc w:val="both"/>
        <w:rPr>
          <w:rFonts w:ascii="Times New Roman" w:hAnsi="Times New Roman" w:cs="Times New Roman"/>
          <w:sz w:val="24"/>
          <w:lang w:eastAsia="ar-SA"/>
        </w:rPr>
      </w:pPr>
      <w:r>
        <w:rPr>
          <w:rFonts w:ascii="Times New Roman" w:hAnsi="Times New Roman" w:cs="Times New Roman"/>
          <w:sz w:val="24"/>
          <w:lang w:eastAsia="ar-SA"/>
        </w:rPr>
        <w:t xml:space="preserve">d) Lista de Inidôneos mantida pelo Tribunal de Contas da União - TCU; </w:t>
      </w:r>
    </w:p>
    <w:p>
      <w:pPr>
        <w:pStyle w:val="8"/>
        <w:numPr>
          <w:ilvl w:val="2"/>
          <w:numId w:val="1"/>
        </w:numPr>
        <w:spacing w:before="120" w:after="120" w:line="276" w:lineRule="auto"/>
        <w:ind w:left="-200" w:leftChars="-100" w:firstLine="0"/>
        <w:jc w:val="both"/>
        <w:rPr>
          <w:rFonts w:ascii="Times New Roman" w:hAnsi="Times New Roman" w:cs="Times New Roman"/>
          <w:b/>
          <w:sz w:val="24"/>
        </w:rPr>
      </w:pPr>
      <w:r>
        <w:rPr>
          <w:rFonts w:ascii="Times New Roman" w:hAnsi="Times New Roman" w:cs="Times New Roman"/>
          <w:sz w:val="24"/>
          <w:lang w:eastAsia="ar-SA"/>
        </w:rPr>
        <w:t xml:space="preserve">Para a consulta de </w:t>
      </w:r>
      <w:r>
        <w:rPr>
          <w:rFonts w:ascii="Times New Roman" w:hAnsi="Times New Roman" w:cs="Times New Roman"/>
          <w:color w:val="000000" w:themeColor="text1"/>
          <w:sz w:val="24"/>
          <w14:textFill>
            <w14:solidFill>
              <w14:schemeClr w14:val="tx1"/>
            </w14:solidFill>
          </w14:textFill>
        </w:rPr>
        <w:t>fornecedores</w:t>
      </w:r>
      <w:r>
        <w:rPr>
          <w:rFonts w:ascii="Times New Roman" w:hAnsi="Times New Roman" w:cs="Times New Roman"/>
          <w:sz w:val="24"/>
          <w:lang w:eastAsia="ar-SA"/>
        </w:rPr>
        <w:t xml:space="preserve"> pessoa jurídica poderá haver a substituição das consultas das alíneas “b”, “c” e “d” acima pela Consulta Consolidada de Pessoa Jurídica do TCU (https://certidoesapf.apps.tcu.gov.br/)</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 xml:space="preserve">A consulta aos </w:t>
      </w:r>
      <w:r>
        <w:rPr>
          <w:rFonts w:ascii="Times New Roman" w:hAnsi="Times New Roman" w:cs="Times New Roman"/>
          <w:sz w:val="24"/>
          <w:lang w:eastAsia="ar-SA"/>
        </w:rPr>
        <w:t>cadastros</w:t>
      </w:r>
      <w:r>
        <w:rPr>
          <w:rFonts w:ascii="Times New Roman" w:hAnsi="Times New Roman" w:cs="Times New Roman"/>
          <w:color w:val="000000" w:themeColor="text1"/>
          <w:sz w:val="24"/>
          <w14:textFill>
            <w14:solidFill>
              <w14:schemeClr w14:val="tx1"/>
            </w14:solidFill>
          </w14:textFill>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8"/>
        <w:numPr>
          <w:ilvl w:val="3"/>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Caso conste na Consulta de Situação do Fornecedor a existência de Ocorrências Impeditivas Indiretas, o gestor diligenciará para verificar se houve fraude por parte das empresas apontadas no Relatório de Ocorrências Impeditivas Indiretas.</w:t>
      </w:r>
    </w:p>
    <w:p>
      <w:pPr>
        <w:pStyle w:val="8"/>
        <w:numPr>
          <w:ilvl w:val="4"/>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A tentativa de burla será verificada por meio dos vínculos societários, linhas de fornecimento similares, dentre outros.</w:t>
      </w:r>
    </w:p>
    <w:p>
      <w:pPr>
        <w:pStyle w:val="8"/>
        <w:numPr>
          <w:ilvl w:val="4"/>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O fornecedor será convocado para manifestação previamente à sua desclassificação</w:t>
      </w:r>
    </w:p>
    <w:p>
      <w:pPr>
        <w:pStyle w:val="8"/>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Constatada a existência de sanção, o fornecedor será reputado inabilitado, por falta de condição de participação.</w:t>
      </w:r>
    </w:p>
    <w:p>
      <w:pPr>
        <w:pStyle w:val="8"/>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themeColor="text1"/>
          <w:sz w:val="24"/>
          <w14:textFill>
            <w14:solidFill>
              <w14:schemeClr w14:val="tx1"/>
            </w14:solidFill>
          </w14:textFill>
        </w:rPr>
        <w:t xml:space="preserve">Caso atendidas as condições de participação, </w:t>
      </w:r>
      <w:r>
        <w:rPr>
          <w:rFonts w:ascii="Times New Roman" w:hAnsi="Times New Roman" w:cs="Times New Roman"/>
          <w:sz w:val="24"/>
        </w:rPr>
        <w:t>a habilitação dos fornecedores será verificada por meio do SICAF, nos documentos por ele abrangidos</w:t>
      </w:r>
      <w:r>
        <w:rPr>
          <w:rFonts w:ascii="Times New Roman" w:hAnsi="Times New Roman" w:cs="Times New Roman"/>
          <w:color w:val="000000" w:themeColor="text1"/>
          <w:sz w:val="24"/>
          <w14:textFill>
            <w14:solidFill>
              <w14:schemeClr w14:val="tx1"/>
            </w14:solidFill>
          </w14:textFill>
        </w:rPr>
        <w:t>.</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É dever do fornecedor atualizar previamente as comprovações constantes do SICAF para que estejam vigentes na data da abertura da sessão pública, ou encaminhar, quando solicitado, a respectiva documentação atualizada.</w:t>
      </w:r>
    </w:p>
    <w:p>
      <w:pPr>
        <w:pStyle w:val="8"/>
        <w:numPr>
          <w:ilvl w:val="2"/>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O descumprimento do subitem acima implicará a inabilitação do fornecedor, exceto se a consulta aos sítios eletrônicos oficiais emissores de certidões lograr êxito em encontrar a(s) certidão(ões) válida(s).</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8"/>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Somente haverá a necessidade de comprovação do preenchimento de requisitos mediante apresentação dos documentos originais não-digitais quando houver dúvida em relação à integridade do documento digital.</w:t>
      </w:r>
    </w:p>
    <w:p>
      <w:pPr>
        <w:pStyle w:val="8"/>
        <w:numPr>
          <w:ilvl w:val="1"/>
          <w:numId w:val="1"/>
        </w:numPr>
        <w:spacing w:before="120" w:after="120" w:line="276" w:lineRule="auto"/>
        <w:ind w:left="-200" w:leftChars="-100" w:firstLine="0"/>
        <w:jc w:val="both"/>
        <w:rPr>
          <w:rFonts w:ascii="Times New Roman" w:hAnsi="Times New Roman" w:cs="Times New Roman"/>
          <w:b/>
          <w:bCs/>
          <w:sz w:val="24"/>
        </w:rPr>
      </w:pPr>
      <w:r>
        <w:rPr>
          <w:rFonts w:ascii="Times New Roman" w:hAnsi="Times New Roman" w:cs="Times New Roman"/>
          <w:bCs/>
          <w:sz w:val="24"/>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8"/>
        <w:numPr>
          <w:ilvl w:val="1"/>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 xml:space="preserve">Havendo </w:t>
      </w:r>
      <w:r>
        <w:rPr>
          <w:rFonts w:ascii="Times New Roman" w:hAnsi="Times New Roman" w:cs="Times New Roman"/>
          <w:iCs/>
          <w:sz w:val="24"/>
          <w:lang w:eastAsia="en-US"/>
        </w:rPr>
        <w:t>necessidade</w:t>
      </w:r>
      <w:r>
        <w:rPr>
          <w:rFonts w:ascii="Times New Roman" w:hAnsi="Times New Roman" w:cs="Times New Roman"/>
          <w:bCs/>
          <w:sz w:val="24"/>
        </w:rPr>
        <w:t xml:space="preserve"> de analisar minuciosamente os documentos exigidos, a sessão será suspensa, sendo informada a nova data e horário para a sua continuidade.</w:t>
      </w:r>
    </w:p>
    <w:p>
      <w:pPr>
        <w:pStyle w:val="8"/>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 xml:space="preserve">Será inabilitado o fornecedor que não comprovar sua habilitação, seja por não apresentar </w:t>
      </w:r>
      <w:r>
        <w:rPr>
          <w:rFonts w:ascii="Times New Roman" w:hAnsi="Times New Roman" w:cs="Times New Roman"/>
          <w:iCs/>
          <w:sz w:val="24"/>
          <w:lang w:eastAsia="en-US"/>
        </w:rPr>
        <w:t>quaisquer</w:t>
      </w:r>
      <w:r>
        <w:rPr>
          <w:rFonts w:ascii="Times New Roman" w:hAnsi="Times New Roman" w:cs="Times New Roman"/>
          <w:color w:val="000000"/>
          <w:sz w:val="24"/>
        </w:rPr>
        <w:t xml:space="preserve"> dos </w:t>
      </w:r>
      <w:r>
        <w:rPr>
          <w:rFonts w:ascii="Times New Roman" w:hAnsi="Times New Roman" w:cs="Times New Roman"/>
          <w:bCs/>
          <w:sz w:val="24"/>
        </w:rPr>
        <w:t>documentos</w:t>
      </w:r>
      <w:r>
        <w:rPr>
          <w:rFonts w:ascii="Times New Roman" w:hAnsi="Times New Roman" w:cs="Times New Roman"/>
          <w:color w:val="000000"/>
          <w:sz w:val="24"/>
        </w:rPr>
        <w:t xml:space="preserve"> exigidos, ou apresentá-los em desacordo com o estabelecido neste Aviso de Contratação Direta.</w:t>
      </w:r>
    </w:p>
    <w:p>
      <w:pPr>
        <w:pStyle w:val="8"/>
        <w:numPr>
          <w:ilvl w:val="2"/>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8"/>
        <w:numPr>
          <w:ilvl w:val="1"/>
          <w:numId w:val="1"/>
        </w:numPr>
        <w:spacing w:before="120" w:after="120" w:line="276" w:lineRule="auto"/>
        <w:ind w:left="-200" w:leftChars="-100" w:firstLine="0"/>
        <w:jc w:val="both"/>
        <w:rPr>
          <w:rFonts w:ascii="Times New Roman" w:hAnsi="Times New Roman" w:cs="Times New Roman"/>
          <w:iCs/>
          <w:sz w:val="24"/>
          <w:lang w:eastAsia="en-US"/>
        </w:rPr>
      </w:pPr>
      <w:r>
        <w:rPr>
          <w:rFonts w:ascii="Times New Roman" w:hAnsi="Times New Roman" w:cs="Times New Roman"/>
          <w:iCs/>
          <w:sz w:val="24"/>
          <w:lang w:eastAsia="en-US"/>
        </w:rPr>
        <w:t>Constatado o atendimento às exigências de habilitação, o fornecedor será habilitado</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CONTRATAÇÃO</w:t>
      </w:r>
    </w:p>
    <w:p>
      <w:pPr>
        <w:numPr>
          <w:ilvl w:val="1"/>
          <w:numId w:val="1"/>
        </w:numPr>
        <w:spacing w:before="120" w:after="120" w:line="276" w:lineRule="auto"/>
        <w:ind w:left="-200" w:leftChars="-100" w:firstLine="0"/>
        <w:jc w:val="both"/>
        <w:rPr>
          <w:rFonts w:ascii="Times New Roman" w:hAnsi="Times New Roman" w:eastAsia="Arial" w:cs="Times New Roman"/>
          <w:color w:val="000000"/>
          <w:sz w:val="24"/>
        </w:rPr>
      </w:pPr>
      <w:r>
        <w:rPr>
          <w:rFonts w:ascii="Times New Roman" w:hAnsi="Times New Roman" w:eastAsia="Arial" w:cs="Times New Roman"/>
          <w:color w:val="000000"/>
          <w:sz w:val="24"/>
        </w:rPr>
        <w:t>Após a homologação e adjudicação, caso se conclua pela contratação, será emitido Nota de Empenho.</w:t>
      </w:r>
    </w:p>
    <w:p>
      <w:pPr>
        <w:numPr>
          <w:ilvl w:val="1"/>
          <w:numId w:val="1"/>
        </w:numPr>
        <w:spacing w:before="120" w:after="120" w:line="276" w:lineRule="auto"/>
        <w:ind w:left="-200" w:leftChars="-100" w:firstLine="0"/>
        <w:jc w:val="both"/>
        <w:rPr>
          <w:rFonts w:ascii="Times New Roman" w:hAnsi="Times New Roman" w:eastAsia="Arial" w:cs="Times New Roman"/>
          <w:sz w:val="24"/>
        </w:rPr>
      </w:pPr>
      <w:r>
        <w:rPr>
          <w:rFonts w:ascii="Times New Roman" w:hAnsi="Times New Roman" w:eastAsia="Arial" w:cs="Times New Roman"/>
          <w:sz w:val="24"/>
        </w:rPr>
        <w:t>O Aceite da Nota de Empenho, emitida à empresa adjudicada, implica no reconhecimento de que:</w:t>
      </w:r>
    </w:p>
    <w:p>
      <w:pPr>
        <w:numPr>
          <w:ilvl w:val="2"/>
          <w:numId w:val="1"/>
        </w:numPr>
        <w:spacing w:before="120" w:after="120" w:line="276" w:lineRule="auto"/>
        <w:ind w:left="-200" w:leftChars="-100" w:firstLine="0"/>
        <w:jc w:val="both"/>
        <w:rPr>
          <w:rFonts w:ascii="Times New Roman" w:hAnsi="Times New Roman" w:eastAsia="Arial" w:cs="Times New Roman"/>
          <w:sz w:val="24"/>
        </w:rPr>
      </w:pPr>
      <w:r>
        <w:rPr>
          <w:rFonts w:ascii="Times New Roman" w:hAnsi="Times New Roman" w:eastAsia="Arial" w:cs="Times New Roman"/>
          <w:sz w:val="24"/>
        </w:rPr>
        <w:t>referida Nota está substituindo o contrato, aplicando-se à relação de negócios ali estabelecida as disposições da Lei nº 14.133, de 2021;</w:t>
      </w:r>
    </w:p>
    <w:p>
      <w:pPr>
        <w:numPr>
          <w:ilvl w:val="2"/>
          <w:numId w:val="1"/>
        </w:numPr>
        <w:spacing w:before="120" w:after="120" w:line="276" w:lineRule="auto"/>
        <w:ind w:left="-200" w:leftChars="-100" w:firstLine="0"/>
        <w:jc w:val="both"/>
        <w:rPr>
          <w:rFonts w:ascii="Times New Roman" w:hAnsi="Times New Roman" w:eastAsia="Arial" w:cs="Times New Roman"/>
          <w:sz w:val="24"/>
        </w:rPr>
      </w:pPr>
      <w:r>
        <w:rPr>
          <w:rFonts w:ascii="Times New Roman" w:hAnsi="Times New Roman" w:eastAsia="Arial" w:cs="Times New Roman"/>
          <w:sz w:val="24"/>
        </w:rPr>
        <w:t>a contratada se vincula à sua proposta e às previsões contidas no Aviso de Contratação Direta e seus anexos;</w:t>
      </w:r>
    </w:p>
    <w:p>
      <w:pPr>
        <w:numPr>
          <w:ilvl w:val="1"/>
          <w:numId w:val="1"/>
        </w:numPr>
        <w:spacing w:before="120" w:after="120" w:line="276" w:lineRule="auto"/>
        <w:ind w:left="-200" w:leftChars="-100" w:firstLine="0"/>
        <w:jc w:val="both"/>
        <w:rPr>
          <w:rFonts w:ascii="Times New Roman" w:hAnsi="Times New Roman" w:eastAsia="Arial" w:cs="Times New Roman"/>
          <w:color w:val="000000"/>
          <w:sz w:val="24"/>
        </w:rPr>
      </w:pPr>
      <w:r>
        <w:rPr>
          <w:rFonts w:ascii="Times New Roman" w:hAnsi="Times New Roman" w:cs="Times New Roman"/>
          <w:color w:val="000000"/>
          <w:sz w:val="24"/>
        </w:rPr>
        <w:t>No aceite da Nota de Empenho será exigida a comprovação das condições de habilitação e contratação consignadas neste aviso, que deverão ser mantidas pelo fornecedor durante a vigência do contrato.</w:t>
      </w:r>
    </w:p>
    <w:p>
      <w:pPr>
        <w:numPr>
          <w:ilvl w:val="1"/>
          <w:numId w:val="1"/>
        </w:numPr>
        <w:spacing w:before="120" w:after="120" w:line="276" w:lineRule="auto"/>
        <w:ind w:left="-200" w:leftChars="-100" w:firstLine="0"/>
        <w:jc w:val="both"/>
        <w:rPr>
          <w:rFonts w:ascii="Times New Roman" w:hAnsi="Times New Roman" w:eastAsia="Arial" w:cs="Times New Roman"/>
          <w:color w:val="000000"/>
          <w:sz w:val="24"/>
        </w:rPr>
      </w:pPr>
      <w:r>
        <w:rPr>
          <w:rFonts w:ascii="Times New Roman" w:hAnsi="Times New Roman" w:cs="Times New Roman"/>
          <w:color w:val="000000"/>
          <w:sz w:val="24"/>
        </w:rPr>
        <w:t>A empresa terá o prazo de 15 (quinze) dias para entrega do material após aceite da Nota de empenho.</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SANÇÕES</w:t>
      </w:r>
    </w:p>
    <w:p>
      <w:pPr>
        <w:numPr>
          <w:ilvl w:val="1"/>
          <w:numId w:val="1"/>
        </w:numPr>
        <w:spacing w:before="120" w:after="120" w:line="276" w:lineRule="auto"/>
        <w:ind w:left="-200" w:leftChars="-100" w:firstLine="0"/>
        <w:jc w:val="both"/>
        <w:rPr>
          <w:rFonts w:ascii="Times New Roman" w:hAnsi="Times New Roman" w:cs="Times New Roman"/>
          <w:b/>
          <w:sz w:val="24"/>
        </w:rPr>
      </w:pPr>
      <w:r>
        <w:rPr>
          <w:rFonts w:ascii="Times New Roman" w:hAnsi="Times New Roman" w:cs="Times New Roman"/>
          <w:sz w:val="24"/>
        </w:rPr>
        <w:t xml:space="preserve">Comete infração administrativa o fornecedor que cometer quaisquer das infrações previstas no art. 155 da Lei nº 14.133, de 2021, quais sejam: </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dar causa à inexecução parcial do contrato</w:t>
      </w:r>
      <w:r>
        <w:rPr>
          <w:rFonts w:ascii="Times New Roman" w:hAnsi="Times New Roman" w:cs="Times New Roman"/>
          <w:sz w:val="24"/>
        </w:rPr>
        <w:t>;</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dar causa à inexecução parcial do contrato que cause grave dano à Administração, ao funcionamento dos serviços públicos ou ao interesse coletivo;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dar causa à inexecução total do contrato;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deixar de entregar a documentação exigida para o certame;</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não manter a proposta, salvo em decorrência de fato superveniente devidamente justificado;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não celebrar o contrato ou não entregar a documentação exigida para a contratação, quando convocado dentro do prazo de validade de sua proposta;</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 ensejar o retardamento da execução ou da entrega do objeto da licitação sem motivo justificado;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apresentar declaração ou documentação falsa exigida para o certame ou prestar declaração falsa durante a dispensa eletrônica ou a execução do contrato;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fraudar a dispensa eletrônica ou praticar ato fraudulento na execução do contrato;</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 comportar-se de modo inidôneo ou cometer fraude de qualquer natureza;</w:t>
      </w:r>
    </w:p>
    <w:p>
      <w:pPr>
        <w:pStyle w:val="8"/>
        <w:numPr>
          <w:ilvl w:val="3"/>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numPr>
          <w:ilvl w:val="2"/>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 praticar atos ilícitos com vistas a frustrar os objetivos deste certame.</w:t>
      </w:r>
    </w:p>
    <w:p>
      <w:pPr>
        <w:numPr>
          <w:ilvl w:val="2"/>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praticar ato lesivo previsto no </w:t>
      </w:r>
      <w:r>
        <w:fldChar w:fldCharType="begin"/>
      </w:r>
      <w:r>
        <w:instrText xml:space="preserve"> HYPERLINK "http://www.planalto.gov.br/ccivil_03/_Ato2011-2014/2013/Lei/L12846.htm" \l "art5" </w:instrText>
      </w:r>
      <w:r>
        <w:fldChar w:fldCharType="separate"/>
      </w:r>
      <w:r>
        <w:rPr>
          <w:rFonts w:ascii="Times New Roman" w:hAnsi="Times New Roman" w:cs="Times New Roman"/>
          <w:color w:val="000000"/>
          <w:sz w:val="24"/>
        </w:rPr>
        <w:t>art. 5º da Lei nº 12.846, de 1º de agosto de 2013.</w:t>
      </w:r>
      <w:r>
        <w:rPr>
          <w:rFonts w:ascii="Times New Roman" w:hAnsi="Times New Roman" w:cs="Times New Roman"/>
          <w:color w:val="000000"/>
          <w:sz w:val="24"/>
        </w:rPr>
        <w:fldChar w:fldCharType="end"/>
      </w:r>
    </w:p>
    <w:p>
      <w:pPr>
        <w:numPr>
          <w:ilvl w:val="1"/>
          <w:numId w:val="1"/>
        </w:numPr>
        <w:spacing w:before="120" w:after="120" w:line="276" w:lineRule="auto"/>
        <w:ind w:left="-200" w:leftChars="-100" w:firstLine="0"/>
        <w:jc w:val="both"/>
        <w:rPr>
          <w:rFonts w:ascii="Times New Roman" w:hAnsi="Times New Roman" w:cs="Times New Roman"/>
          <w:b/>
          <w:sz w:val="24"/>
        </w:rPr>
      </w:pPr>
      <w:r>
        <w:rPr>
          <w:rFonts w:ascii="Times New Roman" w:hAnsi="Times New Roman" w:cs="Times New Roman"/>
          <w:sz w:val="24"/>
        </w:rPr>
        <w:t>O fornecedor que cometer qualquer das infrações discriminadas nos subitens anteriores ficará sujeito, sem prejuízo da responsabilidade civil e criminal, às seguintes sanções:</w:t>
      </w:r>
    </w:p>
    <w:p>
      <w:pPr>
        <w:numPr>
          <w:ilvl w:val="2"/>
          <w:numId w:val="4"/>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Advertência pela falta do subitem 8.1.1 deste Aviso de Contratação Direta, quando não se justificar a imposição de penalidade mais grave;</w:t>
      </w:r>
    </w:p>
    <w:p>
      <w:pPr>
        <w:numPr>
          <w:ilvl w:val="2"/>
          <w:numId w:val="4"/>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Multa de 1% (um por cento) sobre o valor estimado do(s) item(s) prejudicado(s) pela conduta do fornecedor, por qualquer das infrações dos subitens 8.1.1 a 8.1.12;</w:t>
      </w:r>
    </w:p>
    <w:p>
      <w:pPr>
        <w:numPr>
          <w:ilvl w:val="2"/>
          <w:numId w:val="4"/>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Impedimento de licitar e contratar</w:t>
      </w:r>
      <w:r>
        <w:rPr>
          <w:rFonts w:ascii="Times New Roman" w:hAnsi="Times New Roman" w:cs="Times New Roman"/>
          <w:sz w:val="24"/>
        </w:rPr>
        <w:t xml:space="preserve"> </w:t>
      </w:r>
      <w:r>
        <w:rPr>
          <w:rFonts w:ascii="Times New Roman" w:hAnsi="Times New Roman" w:cs="Times New Roman"/>
          <w:color w:val="000000"/>
          <w:sz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ascii="Times New Roman" w:hAnsi="Times New Roman" w:cs="Times New Roman"/>
          <w:sz w:val="24"/>
        </w:rPr>
        <w:t>;</w:t>
      </w:r>
    </w:p>
    <w:p>
      <w:pPr>
        <w:numPr>
          <w:ilvl w:val="2"/>
          <w:numId w:val="4"/>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color w:val="000000"/>
          <w:sz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ascii="Times New Roman" w:hAnsi="Times New Roman" w:cs="Times New Roman"/>
          <w:sz w:val="24"/>
        </w:rPr>
        <w:t>;</w:t>
      </w:r>
    </w:p>
    <w:p>
      <w:pPr>
        <w:numPr>
          <w:ilvl w:val="1"/>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Na aplicação das sanções serão considerados:</w:t>
      </w:r>
    </w:p>
    <w:p>
      <w:pPr>
        <w:numPr>
          <w:ilvl w:val="2"/>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a natureza e a gravidade da infração cometida;</w:t>
      </w:r>
    </w:p>
    <w:p>
      <w:pPr>
        <w:numPr>
          <w:ilvl w:val="2"/>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as peculiaridades do caso concreto;</w:t>
      </w:r>
    </w:p>
    <w:p>
      <w:pPr>
        <w:numPr>
          <w:ilvl w:val="2"/>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as circunstâncias agravantes ou atenuantes;</w:t>
      </w:r>
    </w:p>
    <w:p>
      <w:pPr>
        <w:numPr>
          <w:ilvl w:val="2"/>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os danos que dela provierem para a Administração Pública;</w:t>
      </w:r>
    </w:p>
    <w:p>
      <w:pPr>
        <w:numPr>
          <w:ilvl w:val="2"/>
          <w:numId w:val="1"/>
        </w:numPr>
        <w:spacing w:before="120" w:after="120" w:line="276" w:lineRule="auto"/>
        <w:ind w:left="-200" w:leftChars="-100" w:firstLine="0"/>
        <w:jc w:val="both"/>
        <w:rPr>
          <w:rFonts w:ascii="Times New Roman" w:hAnsi="Times New Roman" w:cs="Times New Roman"/>
          <w:bCs/>
          <w:sz w:val="24"/>
        </w:rPr>
      </w:pPr>
      <w:r>
        <w:rPr>
          <w:rFonts w:ascii="Times New Roman" w:hAnsi="Times New Roman" w:cs="Times New Roman"/>
          <w:bCs/>
          <w:sz w:val="24"/>
        </w:rPr>
        <w:t>a implantação ou o aperfeiçoamento de programa de integridade, conforme normas e orientações dos órgãos de controle.</w:t>
      </w:r>
    </w:p>
    <w:p>
      <w:pPr>
        <w:numPr>
          <w:ilvl w:val="1"/>
          <w:numId w:val="1"/>
        </w:numPr>
        <w:spacing w:before="120" w:after="120" w:line="276" w:lineRule="auto"/>
        <w:ind w:left="-200" w:leftChars="-100" w:firstLine="0"/>
        <w:jc w:val="both"/>
        <w:rPr>
          <w:rFonts w:ascii="Times New Roman" w:hAnsi="Times New Roman" w:cs="Times New Roman"/>
          <w:sz w:val="24"/>
        </w:rPr>
      </w:pPr>
      <w:bookmarkStart w:id="0" w:name="art156§6"/>
      <w:bookmarkEnd w:id="0"/>
      <w:bookmarkStart w:id="1" w:name="art156§7"/>
      <w:bookmarkEnd w:id="1"/>
      <w:bookmarkStart w:id="2" w:name="art156§8"/>
      <w:bookmarkEnd w:id="2"/>
      <w:r>
        <w:rPr>
          <w:rFonts w:ascii="Times New Roman" w:hAnsi="Times New Roman" w:cs="Times New Roman"/>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numPr>
          <w:ilvl w:val="1"/>
          <w:numId w:val="1"/>
        </w:numPr>
        <w:spacing w:before="120" w:after="120" w:line="276" w:lineRule="auto"/>
        <w:ind w:left="-200" w:leftChars="-100" w:firstLine="0"/>
        <w:jc w:val="both"/>
        <w:rPr>
          <w:rFonts w:ascii="Times New Roman" w:hAnsi="Times New Roman" w:cs="Times New Roman"/>
          <w:sz w:val="24"/>
        </w:rPr>
      </w:pPr>
      <w:bookmarkStart w:id="3" w:name="art156§9"/>
      <w:bookmarkEnd w:id="3"/>
      <w:r>
        <w:rPr>
          <w:rFonts w:ascii="Times New Roman" w:hAnsi="Times New Roman" w:cs="Times New Roman"/>
          <w:sz w:val="24"/>
        </w:rPr>
        <w:t>A aplicação das sanções previstas neste Aviso de Contratação Direta, em hipótese alguma, a obrigação de reparação integral do dano causado à Administração Pública.</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 penalidade de multa pode ser aplicada cumulativamente com as demais sanções.</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numPr>
          <w:ilvl w:val="1"/>
          <w:numId w:val="1"/>
        </w:numPr>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As sanções por atos praticados no decorrer da contratação estão previstas nos anexos a este Aviso.</w:t>
      </w:r>
    </w:p>
    <w:p>
      <w:pPr>
        <w:pStyle w:val="7"/>
        <w:keepNext w:val="0"/>
        <w:widowControl/>
        <w:numPr>
          <w:ilvl w:val="0"/>
          <w:numId w:val="1"/>
        </w:numPr>
        <w:shd w:val="clear" w:color="auto" w:fill="auto"/>
        <w:spacing w:before="120" w:after="120"/>
        <w:ind w:left="-200" w:leftChars="-100" w:firstLine="0"/>
        <w:rPr>
          <w:rFonts w:ascii="Times New Roman" w:hAnsi="Times New Roman" w:cs="Times New Roman"/>
          <w:b/>
          <w:sz w:val="24"/>
        </w:rPr>
      </w:pPr>
      <w:r>
        <w:rPr>
          <w:rFonts w:ascii="Times New Roman" w:hAnsi="Times New Roman" w:cs="Times New Roman"/>
          <w:b/>
          <w:sz w:val="24"/>
        </w:rPr>
        <w:t>DAS DISPOSIÇÕES GERAIS</w:t>
      </w:r>
    </w:p>
    <w:p>
      <w:pPr>
        <w:numPr>
          <w:ilvl w:val="1"/>
          <w:numId w:val="1"/>
        </w:numPr>
        <w:autoSpaceDE w:val="0"/>
        <w:snapToGrid w:val="0"/>
        <w:spacing w:before="120" w:after="120" w:line="276" w:lineRule="auto"/>
        <w:ind w:left="-200" w:leftChars="-100" w:firstLine="0"/>
        <w:jc w:val="both"/>
        <w:rPr>
          <w:rFonts w:ascii="Times New Roman" w:hAnsi="Times New Roman" w:cs="Times New Roman"/>
          <w:sz w:val="24"/>
        </w:rPr>
      </w:pPr>
      <w:r>
        <w:rPr>
          <w:rFonts w:ascii="Times New Roman" w:hAnsi="Times New Roman" w:cs="Times New Roman"/>
          <w:sz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No caso de todos os fornecedores restarem desclassificados ou inabilitados (procedimento fracassado), a Administração poderá:</w:t>
      </w:r>
    </w:p>
    <w:p>
      <w:pPr>
        <w:numPr>
          <w:ilvl w:val="2"/>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republicar o presente aviso com uma nova data;</w:t>
      </w:r>
    </w:p>
    <w:p>
      <w:pPr>
        <w:numPr>
          <w:ilvl w:val="2"/>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valer-se, para a contratação, de proposta obtida na pesquisa de preços que serviu de base ao procedimento, se houver, privilegiando-se os menores preços, sempre que possível, e desde que atendidas às condições de habilitação exigidas.</w:t>
      </w:r>
    </w:p>
    <w:p>
      <w:pPr>
        <w:numPr>
          <w:ilvl w:val="3"/>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No caso do subitem anterior, a contratação será operacionalizada fora deste procedimento.</w:t>
      </w:r>
    </w:p>
    <w:p>
      <w:pPr>
        <w:numPr>
          <w:ilvl w:val="2"/>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fixar prazo para que possa haver adequação das propostas ou da documentação de habilitação, conforme o caso.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As providências dos subitens 9.2.1 e 9.2.2 acima poderão ser utilizadas se não houver o comparecimento de quaisquer fornecedores interessados (procedimento deserto)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Caberá ao fornecedor acompanhar as operações, ficando responsável pelo ônus decorrente da perda do negócio diante da inobservância de quaisquer mensagens emitidas pela Administração ou de sua desconexão.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Os horários estabelecidos na divulgação deste procedimento e durante o envio de lances observarão o horário de Brasília-DF, inclusive para contagem de tempo e registro no Sistema e na documentação relativa ao procedimento.</w:t>
      </w:r>
    </w:p>
    <w:p>
      <w:pPr>
        <w:numPr>
          <w:ilvl w:val="1"/>
          <w:numId w:val="1"/>
        </w:numPr>
        <w:spacing w:before="120" w:after="120" w:line="276" w:lineRule="auto"/>
        <w:ind w:left="-200" w:leftChars="-100" w:firstLine="0"/>
        <w:jc w:val="both"/>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Os fornecedores assumem todos os custos de preparação e apresentação de suas propostas e a Administração não será, em nenhum caso, responsável por esses custos, independentemente da condução ou do resultado do processo de contratação.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Em caso de divergência entre disposições deste Aviso de Contratação Direta e de seus anexos ou demais peças que compõem o processo, prevalecerá as deste Aviso.</w:t>
      </w:r>
    </w:p>
    <w:p>
      <w:pPr>
        <w:numPr>
          <w:ilvl w:val="1"/>
          <w:numId w:val="1"/>
        </w:numPr>
        <w:spacing w:before="120" w:after="120" w:line="276" w:lineRule="auto"/>
        <w:ind w:left="-200" w:leftChars="-100" w:firstLine="0"/>
        <w:jc w:val="both"/>
        <w:rPr>
          <w:rFonts w:ascii="Times New Roman" w:hAnsi="Times New Roman" w:cs="Times New Roman"/>
          <w:color w:val="000000"/>
          <w:sz w:val="24"/>
        </w:rPr>
      </w:pPr>
      <w:r>
        <w:rPr>
          <w:rFonts w:ascii="Times New Roman" w:hAnsi="Times New Roman" w:cs="Times New Roman"/>
          <w:color w:val="000000"/>
          <w:sz w:val="24"/>
        </w:rPr>
        <w:t>Da sessão pública será divulgada Ata no sistema eletrônico.</w:t>
      </w:r>
    </w:p>
    <w:p>
      <w:pPr>
        <w:numPr>
          <w:ilvl w:val="0"/>
          <w:numId w:val="0"/>
        </w:numPr>
        <w:spacing w:before="120" w:after="120" w:line="276" w:lineRule="auto"/>
        <w:ind w:leftChars="-100"/>
        <w:jc w:val="both"/>
        <w:rPr>
          <w:rFonts w:ascii="Times New Roman" w:hAnsi="Times New Roman" w:cs="Times New Roman"/>
          <w:color w:val="000000"/>
          <w:sz w:val="24"/>
        </w:rPr>
      </w:pPr>
    </w:p>
    <w:p>
      <w:pPr>
        <w:spacing w:before="240" w:after="240" w:line="276" w:lineRule="auto"/>
        <w:ind w:left="360" w:right="-15" w:firstLine="709"/>
        <w:rPr>
          <w:rFonts w:ascii="Times New Roman" w:hAnsi="Times New Roman" w:cs="Times New Roman"/>
          <w:sz w:val="24"/>
        </w:rPr>
      </w:pPr>
      <w:r>
        <w:rPr>
          <w:rFonts w:ascii="Times New Roman" w:hAnsi="Times New Roman" w:cs="Times New Roman"/>
          <w:color w:val="000000"/>
          <w:sz w:val="24"/>
        </w:rPr>
        <w:t xml:space="preserve">                        Belo Horizonte,       </w:t>
      </w:r>
      <w:r>
        <w:rPr>
          <w:rFonts w:hint="default" w:ascii="Times New Roman" w:hAnsi="Times New Roman" w:cs="Times New Roman"/>
          <w:color w:val="000000"/>
          <w:sz w:val="24"/>
          <w:lang w:val="pt-BR"/>
        </w:rPr>
        <w:t xml:space="preserve">     </w:t>
      </w:r>
      <w:r>
        <w:rPr>
          <w:rFonts w:ascii="Times New Roman" w:hAnsi="Times New Roman" w:cs="Times New Roman"/>
          <w:color w:val="000000"/>
          <w:sz w:val="24"/>
        </w:rPr>
        <w:t xml:space="preserve">de </w:t>
      </w:r>
      <w:r>
        <w:rPr>
          <w:rFonts w:hint="default" w:ascii="Times New Roman" w:hAnsi="Times New Roman" w:cs="Times New Roman"/>
          <w:color w:val="000000"/>
          <w:sz w:val="24"/>
          <w:lang w:val="pt-BR"/>
        </w:rPr>
        <w:t>julho</w:t>
      </w:r>
      <w:r>
        <w:rPr>
          <w:rFonts w:ascii="Times New Roman" w:hAnsi="Times New Roman" w:cs="Times New Roman"/>
          <w:color w:val="000000"/>
          <w:sz w:val="24"/>
        </w:rPr>
        <w:t xml:space="preserve"> de 202</w:t>
      </w:r>
      <w:bookmarkStart w:id="4" w:name="_Hlk61951913"/>
      <w:bookmarkEnd w:id="4"/>
      <w:r>
        <w:rPr>
          <w:rFonts w:hint="default" w:ascii="Times New Roman" w:hAnsi="Times New Roman" w:cs="Times New Roman"/>
          <w:color w:val="000000"/>
          <w:sz w:val="24"/>
          <w:lang w:val="pt-BR"/>
        </w:rPr>
        <w:t>3</w:t>
      </w:r>
      <w:r>
        <w:rPr>
          <w:rFonts w:ascii="Times New Roman" w:hAnsi="Times New Roman" w:cs="Times New Roman"/>
          <w:color w:val="000000"/>
          <w:sz w:val="24"/>
        </w:rPr>
        <w:t>.</w:t>
      </w:r>
    </w:p>
    <w:p>
      <w:pPr>
        <w:jc w:val="center"/>
        <w:rPr>
          <w:rFonts w:ascii="Times New Roman" w:hAnsi="Times New Roman" w:eastAsia="SimSun" w:cs="Times New Roman"/>
          <w:b/>
          <w:sz w:val="24"/>
        </w:rPr>
      </w:pPr>
    </w:p>
    <w:p>
      <w:pPr>
        <w:jc w:val="center"/>
        <w:rPr>
          <w:rFonts w:ascii="Times New Roman" w:hAnsi="Times New Roman" w:eastAsia="SimSun" w:cs="Times New Roman"/>
          <w:b/>
          <w:sz w:val="24"/>
        </w:rPr>
      </w:pPr>
    </w:p>
    <w:p>
      <w:pPr>
        <w:jc w:val="center"/>
        <w:rPr>
          <w:b/>
          <w:sz w:val="24"/>
          <w:szCs w:val="24"/>
        </w:rPr>
      </w:pPr>
      <w:r>
        <w:rPr>
          <w:rFonts w:hint="default" w:ascii="Times New Roman" w:hAnsi="Times New Roman" w:cs="Times New Roman"/>
          <w:b/>
          <w:sz w:val="24"/>
          <w:szCs w:val="24"/>
        </w:rPr>
        <w:t>A</w:t>
      </w:r>
      <w:r>
        <w:rPr>
          <w:rFonts w:hint="default" w:ascii="Times New Roman" w:hAnsi="Times New Roman" w:cs="Times New Roman"/>
          <w:b/>
          <w:sz w:val="24"/>
          <w:szCs w:val="24"/>
          <w:lang w:val="pt-BR"/>
        </w:rPr>
        <w:t>LEXANDRE ACCIOLY BORBA</w:t>
      </w:r>
      <w:r>
        <w:rPr>
          <w:rFonts w:hint="default" w:ascii="Times New Roman" w:hAnsi="Times New Roman" w:cs="Times New Roman"/>
          <w:b/>
          <w:sz w:val="24"/>
          <w:szCs w:val="24"/>
        </w:rPr>
        <w:t xml:space="preserve"> - </w:t>
      </w:r>
      <w:r>
        <w:rPr>
          <w:rFonts w:hint="default" w:ascii="Times New Roman" w:hAnsi="Times New Roman" w:cs="Times New Roman"/>
          <w:b/>
          <w:sz w:val="24"/>
          <w:szCs w:val="24"/>
          <w:lang w:val="pt-BR"/>
        </w:rPr>
        <w:t>T</w:t>
      </w:r>
      <w:r>
        <w:rPr>
          <w:rFonts w:hint="default" w:ascii="Times New Roman" w:hAnsi="Times New Roman" w:cs="Times New Roman"/>
          <w:b/>
          <w:sz w:val="24"/>
          <w:szCs w:val="24"/>
        </w:rPr>
        <w:t>C</w:t>
      </w:r>
    </w:p>
    <w:p>
      <w:pPr>
        <w:jc w:val="center"/>
        <w:rPr>
          <w:rFonts w:ascii="Times New Roman" w:hAnsi="Times New Roman" w:cs="Times New Roman"/>
          <w:sz w:val="24"/>
        </w:rPr>
      </w:pPr>
      <w:r>
        <w:rPr>
          <w:rFonts w:ascii="Times New Roman" w:hAnsi="Times New Roman" w:eastAsia="SimSun" w:cs="Times New Roman"/>
          <w:sz w:val="24"/>
        </w:rPr>
        <w:t>Ordenador de Despesa 2 do Comando da 4 ª Região Militar</w:t>
      </w:r>
    </w:p>
    <w:p>
      <w:pPr>
        <w:ind w:left="-200" w:leftChars="-100"/>
        <w:jc w:val="center"/>
        <w:rPr>
          <w:rFonts w:ascii="Times New Roman" w:hAnsi="Times New Roman" w:cs="Times New Roman"/>
          <w:b/>
          <w:bCs/>
          <w:sz w:val="24"/>
          <w:lang w:eastAsia="en-US"/>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p>
    <w:p>
      <w:pPr>
        <w:tabs>
          <w:tab w:val="left" w:pos="1417"/>
          <w:tab w:val="left" w:pos="4536"/>
        </w:tabs>
        <w:jc w:val="center"/>
        <w:rPr>
          <w:rFonts w:ascii="Times New Roman" w:hAnsi="Times New Roman" w:cs="Times New Roman"/>
          <w:b/>
          <w:sz w:val="24"/>
        </w:rPr>
      </w:pPr>
      <w:r>
        <w:rPr>
          <w:rFonts w:ascii="Times New Roman" w:hAnsi="Times New Roman" w:cs="Times New Roman"/>
          <w:sz w:val="24"/>
        </w:rPr>
        <w:drawing>
          <wp:inline distT="0" distB="0" distL="114300" distR="114300">
            <wp:extent cx="665480" cy="860425"/>
            <wp:effectExtent l="0" t="0" r="1270"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jc w:val="center"/>
        <w:rPr>
          <w:rFonts w:ascii="Times New Roman" w:hAnsi="Times New Roman" w:cs="Times New Roman"/>
          <w:sz w:val="24"/>
        </w:rPr>
      </w:pPr>
      <w:r>
        <w:rPr>
          <w:rFonts w:ascii="Times New Roman" w:hAnsi="Times New Roman" w:cs="Times New Roman"/>
          <w:b/>
          <w:sz w:val="24"/>
        </w:rPr>
        <w:t>MINISTÉRIO DA DEFESA</w:t>
      </w:r>
    </w:p>
    <w:p>
      <w:pPr>
        <w:tabs>
          <w:tab w:val="left" w:pos="1417"/>
          <w:tab w:val="left" w:pos="4536"/>
        </w:tabs>
        <w:jc w:val="center"/>
        <w:rPr>
          <w:rFonts w:ascii="Times New Roman" w:hAnsi="Times New Roman" w:cs="Times New Roman"/>
          <w:sz w:val="24"/>
        </w:rPr>
      </w:pPr>
      <w:r>
        <w:rPr>
          <w:rFonts w:ascii="Times New Roman" w:hAnsi="Times New Roman" w:cs="Times New Roman"/>
          <w:b/>
          <w:sz w:val="24"/>
        </w:rPr>
        <w:t>EXÉRCITO BRASILEIRO</w:t>
      </w:r>
    </w:p>
    <w:p>
      <w:pPr>
        <w:tabs>
          <w:tab w:val="left" w:pos="1417"/>
          <w:tab w:val="left" w:pos="4536"/>
        </w:tabs>
        <w:jc w:val="center"/>
        <w:rPr>
          <w:rFonts w:ascii="Times New Roman" w:hAnsi="Times New Roman" w:cs="Times New Roman"/>
          <w:sz w:val="24"/>
        </w:rPr>
      </w:pPr>
      <w:r>
        <w:rPr>
          <w:rFonts w:ascii="Times New Roman" w:hAnsi="Times New Roman" w:cs="Times New Roman"/>
          <w:b/>
          <w:sz w:val="24"/>
        </w:rPr>
        <w:t>COMANDO 4ª REGIÃO MILITAR</w:t>
      </w:r>
    </w:p>
    <w:p>
      <w:pPr>
        <w:jc w:val="center"/>
        <w:rPr>
          <w:rFonts w:ascii="Times New Roman" w:hAnsi="Times New Roman" w:cs="Times New Roman"/>
          <w:sz w:val="24"/>
        </w:rPr>
      </w:pPr>
      <w:r>
        <w:rPr>
          <w:rFonts w:ascii="Times New Roman" w:hAnsi="Times New Roman" w:cs="Times New Roman"/>
          <w:b/>
          <w:sz w:val="24"/>
        </w:rPr>
        <w:t>(4ª Região Militar/1891)</w:t>
      </w:r>
    </w:p>
    <w:p>
      <w:pPr>
        <w:jc w:val="center"/>
        <w:rPr>
          <w:rFonts w:ascii="Times New Roman" w:hAnsi="Times New Roman" w:cs="Times New Roman"/>
          <w:sz w:val="24"/>
        </w:rPr>
      </w:pPr>
      <w:r>
        <w:rPr>
          <w:rFonts w:ascii="Times New Roman" w:hAnsi="Times New Roman" w:cs="Times New Roman"/>
          <w:b/>
          <w:sz w:val="24"/>
        </w:rPr>
        <w:t>REGIÃO DAS MINAS DO OURO</w:t>
      </w:r>
    </w:p>
    <w:p>
      <w:pPr>
        <w:keepNext/>
        <w:tabs>
          <w:tab w:val="left" w:pos="0"/>
        </w:tabs>
        <w:jc w:val="center"/>
        <w:rPr>
          <w:rFonts w:ascii="Times New Roman" w:hAnsi="Times New Roman" w:cs="Times New Roman"/>
          <w:sz w:val="24"/>
        </w:rPr>
      </w:pPr>
      <w:r>
        <w:rPr>
          <w:rFonts w:ascii="Times New Roman" w:hAnsi="Times New Roman" w:cs="Times New Roman"/>
          <w:sz w:val="24"/>
        </w:rPr>
        <w:t>Rua Juiz de Fora, nº 900, Barro Preto – Belo Horizonte / MG CEP: 30.180-060</w:t>
      </w:r>
    </w:p>
    <w:p>
      <w:pPr>
        <w:keepNext/>
        <w:tabs>
          <w:tab w:val="left" w:pos="0"/>
        </w:tabs>
        <w:jc w:val="center"/>
        <w:rPr>
          <w:rFonts w:ascii="Times New Roman" w:hAnsi="Times New Roman" w:cs="Times New Roman"/>
          <w:sz w:val="24"/>
        </w:rPr>
      </w:pPr>
      <w:r>
        <w:rPr>
          <w:rFonts w:ascii="Times New Roman" w:hAnsi="Times New Roman" w:cs="Times New Roman"/>
          <w:sz w:val="24"/>
        </w:rPr>
        <w:t>Tel: (31) 3508-9849 - e-mail: aquisfusexbh@gmail.com</w:t>
      </w:r>
    </w:p>
    <w:p>
      <w:pPr>
        <w:spacing w:before="100" w:beforeAutospacing="1" w:line="360" w:lineRule="auto"/>
        <w:ind w:left="720"/>
        <w:jc w:val="center"/>
        <w:rPr>
          <w:rFonts w:hint="default" w:ascii="Times New Roman" w:hAnsi="Times New Roman" w:cs="Times New Roman"/>
          <w:sz w:val="24"/>
          <w:lang w:val="pt-BR"/>
        </w:rPr>
      </w:pPr>
      <w:r>
        <w:rPr>
          <w:rFonts w:ascii="Times New Roman" w:hAnsi="Times New Roman" w:cs="Times New Roman"/>
          <w:b/>
          <w:bCs/>
          <w:sz w:val="24"/>
        </w:rPr>
        <w:t xml:space="preserve">AVISO DE DISPENSA ELETRÔNICA nº </w:t>
      </w:r>
      <w:r>
        <w:rPr>
          <w:rFonts w:hint="default" w:ascii="Times New Roman" w:hAnsi="Times New Roman" w:cs="Times New Roman"/>
          <w:b/>
          <w:bCs/>
          <w:sz w:val="24"/>
          <w:lang w:val="pt-BR"/>
        </w:rPr>
        <w:t>561</w:t>
      </w:r>
      <w:r>
        <w:rPr>
          <w:rFonts w:ascii="Times New Roman" w:hAnsi="Times New Roman" w:cs="Times New Roman"/>
          <w:b/>
          <w:bCs/>
          <w:sz w:val="24"/>
        </w:rPr>
        <w:t>/202</w:t>
      </w:r>
      <w:r>
        <w:rPr>
          <w:rFonts w:hint="default" w:ascii="Times New Roman" w:hAnsi="Times New Roman" w:cs="Times New Roman"/>
          <w:b/>
          <w:bCs/>
          <w:sz w:val="24"/>
          <w:lang w:val="pt-BR"/>
        </w:rPr>
        <w:t>3</w:t>
      </w:r>
    </w:p>
    <w:p>
      <w:pPr>
        <w:spacing w:before="100" w:beforeAutospacing="1" w:line="360" w:lineRule="auto"/>
        <w:ind w:left="720"/>
        <w:jc w:val="center"/>
        <w:rPr>
          <w:rFonts w:ascii="Times New Roman" w:hAnsi="Times New Roman" w:cs="Times New Roman"/>
          <w:sz w:val="24"/>
        </w:rPr>
      </w:pPr>
      <w:r>
        <w:rPr>
          <w:rFonts w:ascii="Times New Roman" w:hAnsi="Times New Roman" w:cs="Times New Roman"/>
          <w:b/>
          <w:bCs/>
          <w:color w:val="000000"/>
          <w:sz w:val="24"/>
          <w:shd w:val="clear" w:color="auto" w:fill="FFFFFF"/>
        </w:rPr>
        <w:t xml:space="preserve">(NUP: </w:t>
      </w:r>
      <w:r>
        <w:rPr>
          <w:rFonts w:hint="default" w:ascii="Times New Roman" w:hAnsi="Times New Roman" w:cs="Times New Roman"/>
          <w:b/>
          <w:bCs/>
          <w:color w:val="000000"/>
          <w:sz w:val="24"/>
          <w:lang w:val="pt-BR"/>
        </w:rPr>
        <w:t>64316.111219/2023-67</w:t>
      </w:r>
      <w:r>
        <w:rPr>
          <w:rFonts w:ascii="Times New Roman" w:hAnsi="Times New Roman" w:cs="Times New Roman"/>
          <w:b/>
          <w:bCs/>
          <w:color w:val="000000"/>
          <w:sz w:val="24"/>
          <w:shd w:val="clear" w:color="auto" w:fill="FFFFFF"/>
        </w:rPr>
        <w:t>)</w:t>
      </w:r>
    </w:p>
    <w:p>
      <w:pPr>
        <w:spacing w:before="100" w:beforeAutospacing="1" w:line="276" w:lineRule="auto"/>
        <w:ind w:left="720"/>
        <w:jc w:val="center"/>
        <w:rPr>
          <w:rFonts w:ascii="Times New Roman" w:hAnsi="Times New Roman" w:cs="Times New Roman"/>
          <w:sz w:val="24"/>
        </w:rPr>
      </w:pPr>
      <w:r>
        <w:rPr>
          <w:rFonts w:ascii="Times New Roman" w:hAnsi="Times New Roman" w:cs="Times New Roman"/>
          <w:b/>
          <w:bCs/>
          <w:color w:val="000000"/>
          <w:sz w:val="24"/>
        </w:rPr>
        <w:t>ANEXO I – Documentação exigida para Habilitação</w:t>
      </w:r>
    </w:p>
    <w:p>
      <w:pPr>
        <w:numPr>
          <w:ilvl w:val="0"/>
          <w:numId w:val="5"/>
        </w:numPr>
        <w:shd w:val="clear" w:color="auto" w:fill="FFFFFF"/>
        <w:spacing w:before="100" w:beforeAutospacing="1" w:line="276" w:lineRule="auto"/>
        <w:rPr>
          <w:rFonts w:ascii="Times New Roman" w:hAnsi="Times New Roman" w:cs="Times New Roman"/>
          <w:sz w:val="24"/>
        </w:rPr>
      </w:pPr>
      <w:r>
        <w:rPr>
          <w:rFonts w:ascii="Times New Roman" w:hAnsi="Times New Roman" w:cs="Times New Roman"/>
          <w:b/>
          <w:bCs/>
          <w:color w:val="000000"/>
          <w:sz w:val="24"/>
        </w:rPr>
        <w:t xml:space="preserve">Habilitação jurídica: </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sz w:val="24"/>
        </w:rPr>
        <w:t>no caso de empresário individual, inscrição no Registro Público de Empresas Mercantis, a cargo da Junta Comercial da respectiva sede;</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Em se tratando de Microempreendedor Individual – MEI: Certificado da Condição de Microempreendedor Individual - CCMEI, cuja aceitação ficará condicionada à verificação da autenticidade no sítio www.portaldoempreendedor.gov.br;</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inscrição no Registro Público de Empresas Mercantis onde opera, com averbação no Registro onde tem sede a matriz, no caso de ser o participante sucursal, filial ou agência;</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No caso de sociedade simples: inscrição do ato constitutivo no Registro Civil das Pessoas Jurídicas do local de sua sede, acompanhada de prova da indicação dos seus administradores;</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decreto de autorização, em se tratando de sociedade empresária estrangeira em funcionamento no País;</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Os documentos acima deverão estar acompanhados de todas as alterações ou da consolidação respectiva.</w:t>
      </w:r>
    </w:p>
    <w:p>
      <w:pPr>
        <w:numPr>
          <w:ilvl w:val="0"/>
          <w:numId w:val="5"/>
        </w:numPr>
        <w:spacing w:before="100" w:beforeAutospacing="1"/>
        <w:rPr>
          <w:rFonts w:ascii="Times New Roman" w:hAnsi="Times New Roman" w:cs="Times New Roman"/>
          <w:sz w:val="24"/>
        </w:rPr>
      </w:pPr>
      <w:r>
        <w:rPr>
          <w:rFonts w:ascii="Times New Roman" w:hAnsi="Times New Roman" w:cs="Times New Roman"/>
          <w:b/>
          <w:bCs/>
          <w:color w:val="000000"/>
          <w:sz w:val="24"/>
        </w:rPr>
        <w:t>Regularidade fiscal, social e trabalhista:</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sz w:val="24"/>
        </w:rPr>
        <w:t>prova de inscrição no Cadastro Nacional de Pessoas Jurídicas ou no Cadastro de Pessoas Físicas, conforme o caso;</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prova de regularidade com o Fundo de Garantia do Tempo de Serviço (FGTS);</w:t>
      </w:r>
    </w:p>
    <w:p>
      <w:pPr>
        <w:numPr>
          <w:ilvl w:val="1"/>
          <w:numId w:val="5"/>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keepNext/>
        <w:numPr>
          <w:ilvl w:val="0"/>
          <w:numId w:val="5"/>
        </w:numPr>
        <w:spacing w:before="100" w:beforeAutospacing="1" w:line="360" w:lineRule="auto"/>
        <w:rPr>
          <w:rFonts w:ascii="Times New Roman" w:hAnsi="Times New Roman" w:cs="Times New Roman"/>
          <w:sz w:val="24"/>
        </w:rPr>
      </w:pPr>
      <w:r>
        <w:rPr>
          <w:rFonts w:ascii="Times New Roman" w:hAnsi="Times New Roman" w:cs="Times New Roman"/>
          <w:b/>
          <w:bCs/>
          <w:color w:val="000000"/>
          <w:sz w:val="24"/>
        </w:rPr>
        <w:t xml:space="preserve">Qualificação Econômico-Financeira: </w:t>
      </w:r>
    </w:p>
    <w:p>
      <w:pPr>
        <w:numPr>
          <w:ilvl w:val="1"/>
          <w:numId w:val="6"/>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certidão negativa de falência expedida pelo distribuidor da sede do fornecedor;</w:t>
      </w:r>
    </w:p>
    <w:p>
      <w:pPr>
        <w:numPr>
          <w:ilvl w:val="1"/>
          <w:numId w:val="6"/>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balanço patrimonial, demonstração de resultado de exercício e demais demonstrações contábeis dos 2 (dois) últimos exercícios sociais;</w:t>
      </w:r>
    </w:p>
    <w:p>
      <w:pPr>
        <w:numPr>
          <w:ilvl w:val="2"/>
          <w:numId w:val="6"/>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As empresas criadas no exercício financeiro da dispensa deverão atender a todas as exigências da habilitação e poderão substituir os demonstrativos contábeis pelo balanço de abertura.</w:t>
      </w:r>
    </w:p>
    <w:p>
      <w:pPr>
        <w:numPr>
          <w:ilvl w:val="2"/>
          <w:numId w:val="6"/>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Os documentos referidos acima limitar-se-ão ao último exercício no caso de a pessoa jurídica ter sido constituída há menos de 2 (dois) anos.</w:t>
      </w:r>
    </w:p>
    <w:p>
      <w:pPr>
        <w:numPr>
          <w:ilvl w:val="1"/>
          <w:numId w:val="6"/>
        </w:numPr>
        <w:spacing w:before="100" w:beforeAutospacing="1" w:line="276" w:lineRule="auto"/>
        <w:rPr>
          <w:rFonts w:ascii="Times New Roman" w:hAnsi="Times New Roman" w:cs="Times New Roman"/>
          <w:sz w:val="24"/>
        </w:rPr>
      </w:pPr>
      <w:r>
        <w:rPr>
          <w:rFonts w:ascii="Times New Roman" w:hAnsi="Times New Roman" w:cs="Times New Roman"/>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3"/>
        <w:tblW w:w="6480" w:type="dxa"/>
        <w:tblCellSpacing w:w="0" w:type="dxa"/>
        <w:tblInd w:w="720" w:type="dxa"/>
        <w:tblLayout w:type="autofit"/>
        <w:tblCellMar>
          <w:top w:w="105" w:type="dxa"/>
          <w:left w:w="105" w:type="dxa"/>
          <w:bottom w:w="105" w:type="dxa"/>
          <w:right w:w="105" w:type="dxa"/>
        </w:tblCellMar>
      </w:tblPr>
      <w:tblGrid>
        <w:gridCol w:w="2160"/>
        <w:gridCol w:w="4320"/>
      </w:tblGrid>
      <w:tr>
        <w:tblPrEx>
          <w:tblCellMar>
            <w:top w:w="105" w:type="dxa"/>
            <w:left w:w="105" w:type="dxa"/>
            <w:bottom w:w="105" w:type="dxa"/>
            <w:right w:w="105" w:type="dxa"/>
          </w:tblCellMar>
        </w:tblPrEx>
        <w:trPr>
          <w:tblCellSpacing w:w="0" w:type="dxa"/>
        </w:trPr>
        <w:tc>
          <w:tcPr>
            <w:tcW w:w="2160"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LG =</w:t>
            </w:r>
          </w:p>
        </w:tc>
        <w:tc>
          <w:tcPr>
            <w:tcW w:w="4320"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Ativo Circulante + Realizável a Longo Prazo</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rPr>
                <w:rFonts w:ascii="Times New Roman" w:hAnsi="Times New Roman" w:cs="Times New Roman"/>
                <w:sz w:val="24"/>
              </w:rPr>
            </w:pPr>
          </w:p>
        </w:tc>
        <w:tc>
          <w:tcPr>
            <w:tcW w:w="4320"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 + Passivo Não Circulante</w:t>
            </w:r>
          </w:p>
        </w:tc>
      </w:tr>
    </w:tbl>
    <w:p>
      <w:pPr>
        <w:spacing w:before="100" w:beforeAutospacing="1" w:line="276" w:lineRule="auto"/>
        <w:rPr>
          <w:rFonts w:ascii="Times New Roman" w:hAnsi="Times New Roman" w:cs="Times New Roman"/>
          <w:sz w:val="24"/>
        </w:rPr>
      </w:pPr>
    </w:p>
    <w:tbl>
      <w:tblPr>
        <w:tblStyle w:val="3"/>
        <w:tblW w:w="6630" w:type="dxa"/>
        <w:tblCellSpacing w:w="0" w:type="dxa"/>
        <w:tblInd w:w="720" w:type="dxa"/>
        <w:tblLayout w:type="autofit"/>
        <w:tblCellMar>
          <w:top w:w="105" w:type="dxa"/>
          <w:left w:w="105" w:type="dxa"/>
          <w:bottom w:w="105" w:type="dxa"/>
          <w:right w:w="105" w:type="dxa"/>
        </w:tblCellMar>
      </w:tblPr>
      <w:tblGrid>
        <w:gridCol w:w="2162"/>
        <w:gridCol w:w="4468"/>
      </w:tblGrid>
      <w:tr>
        <w:tblPrEx>
          <w:tblCellMar>
            <w:top w:w="105" w:type="dxa"/>
            <w:left w:w="105" w:type="dxa"/>
            <w:bottom w:w="105" w:type="dxa"/>
            <w:right w:w="105" w:type="dxa"/>
          </w:tblCellMar>
        </w:tblPrEx>
        <w:trPr>
          <w:tblCellSpacing w:w="0" w:type="dxa"/>
        </w:trPr>
        <w:tc>
          <w:tcPr>
            <w:tcW w:w="2025"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SG =</w:t>
            </w:r>
          </w:p>
        </w:tc>
        <w:tc>
          <w:tcPr>
            <w:tcW w:w="4185"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Ativo Total</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rPr>
                <w:rFonts w:ascii="Times New Roman" w:hAnsi="Times New Roman" w:cs="Times New Roman"/>
                <w:sz w:val="24"/>
              </w:rPr>
            </w:pPr>
          </w:p>
        </w:tc>
        <w:tc>
          <w:tcPr>
            <w:tcW w:w="4185"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 + Passivo Não Circulante</w:t>
            </w:r>
          </w:p>
        </w:tc>
      </w:tr>
    </w:tbl>
    <w:p>
      <w:pPr>
        <w:spacing w:before="100" w:beforeAutospacing="1" w:line="276" w:lineRule="auto"/>
        <w:rPr>
          <w:rFonts w:ascii="Times New Roman" w:hAnsi="Times New Roman" w:cs="Times New Roman"/>
          <w:sz w:val="24"/>
        </w:rPr>
      </w:pPr>
    </w:p>
    <w:tbl>
      <w:tblPr>
        <w:tblStyle w:val="3"/>
        <w:tblW w:w="4785" w:type="dxa"/>
        <w:tblCellSpacing w:w="0" w:type="dxa"/>
        <w:tblInd w:w="720" w:type="dxa"/>
        <w:tblLayout w:type="autofit"/>
        <w:tblCellMar>
          <w:top w:w="105" w:type="dxa"/>
          <w:left w:w="105" w:type="dxa"/>
          <w:bottom w:w="105" w:type="dxa"/>
          <w:right w:w="105" w:type="dxa"/>
        </w:tblCellMar>
      </w:tblPr>
      <w:tblGrid>
        <w:gridCol w:w="2220"/>
        <w:gridCol w:w="2565"/>
      </w:tblGrid>
      <w:tr>
        <w:trPr>
          <w:tblCellSpacing w:w="0" w:type="dxa"/>
        </w:trPr>
        <w:tc>
          <w:tcPr>
            <w:tcW w:w="2025" w:type="dxa"/>
            <w:vMerge w:val="restart"/>
            <w:tcBorders>
              <w:top w:val="nil"/>
              <w:left w:val="nil"/>
              <w:bottom w:val="nil"/>
              <w:right w:val="nil"/>
            </w:tcBorders>
            <w:tcMar>
              <w:top w:w="0" w:type="dxa"/>
              <w:left w:w="0" w:type="dxa"/>
              <w:bottom w:w="0" w:type="dxa"/>
              <w:right w:w="0" w:type="dxa"/>
            </w:tcMar>
            <w:vAlign w:val="cente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LC =</w:t>
            </w:r>
          </w:p>
        </w:tc>
        <w:tc>
          <w:tcPr>
            <w:tcW w:w="2340" w:type="dxa"/>
            <w:tcBorders>
              <w:top w:val="nil"/>
              <w:left w:val="nil"/>
              <w:bottom w:val="single" w:color="000000" w:sz="6" w:space="0"/>
              <w:right w:val="nil"/>
            </w:tcBorders>
            <w:tcMar>
              <w:top w:w="0" w:type="dxa"/>
              <w:left w:w="0" w:type="dxa"/>
              <w:bottom w:w="0" w:type="dxa"/>
              <w:right w:w="0" w:type="dxa"/>
            </w:tcMar>
            <w:vAlign w:val="bottom"/>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Ativo Circulante</w:t>
            </w:r>
          </w:p>
        </w:tc>
      </w:tr>
      <w:tr>
        <w:tblPrEx>
          <w:tblCellMar>
            <w:top w:w="105" w:type="dxa"/>
            <w:left w:w="105" w:type="dxa"/>
            <w:bottom w:w="105" w:type="dxa"/>
            <w:right w:w="105" w:type="dxa"/>
          </w:tblCellMar>
        </w:tblPrEx>
        <w:trPr>
          <w:tblCellSpacing w:w="0" w:type="dxa"/>
        </w:trPr>
        <w:tc>
          <w:tcPr>
            <w:tcW w:w="0" w:type="auto"/>
            <w:vMerge w:val="continue"/>
            <w:tcBorders>
              <w:top w:val="nil"/>
              <w:left w:val="nil"/>
              <w:bottom w:val="nil"/>
              <w:right w:val="nil"/>
            </w:tcBorders>
            <w:vAlign w:val="center"/>
          </w:tcPr>
          <w:p>
            <w:pPr>
              <w:rPr>
                <w:rFonts w:ascii="Times New Roman" w:hAnsi="Times New Roman" w:cs="Times New Roman"/>
                <w:sz w:val="24"/>
              </w:rPr>
            </w:pPr>
          </w:p>
        </w:tc>
        <w:tc>
          <w:tcPr>
            <w:tcW w:w="2340" w:type="dxa"/>
            <w:tcBorders>
              <w:top w:val="single" w:color="000000" w:sz="6" w:space="0"/>
              <w:left w:val="nil"/>
              <w:bottom w:val="nil"/>
              <w:right w:val="nil"/>
            </w:tcBorders>
            <w:tcMar>
              <w:top w:w="0" w:type="dxa"/>
              <w:left w:w="0" w:type="dxa"/>
              <w:bottom w:w="0" w:type="dxa"/>
              <w:right w:w="0" w:type="dxa"/>
            </w:tcMar>
          </w:tcPr>
          <w:p>
            <w:pPr>
              <w:spacing w:before="100" w:beforeAutospacing="1" w:after="142" w:line="288" w:lineRule="auto"/>
              <w:rPr>
                <w:rFonts w:ascii="Times New Roman" w:hAnsi="Times New Roman" w:cs="Times New Roman"/>
                <w:sz w:val="24"/>
              </w:rPr>
            </w:pPr>
            <w:r>
              <w:rPr>
                <w:rFonts w:ascii="Times New Roman" w:hAnsi="Times New Roman" w:cs="Times New Roman"/>
                <w:color w:val="000000"/>
                <w:sz w:val="24"/>
              </w:rPr>
              <w:t>Passivo Circulante</w:t>
            </w:r>
          </w:p>
        </w:tc>
      </w:tr>
    </w:tbl>
    <w:p>
      <w:pPr>
        <w:numPr>
          <w:ilvl w:val="1"/>
          <w:numId w:val="7"/>
        </w:numPr>
        <w:spacing w:before="100" w:beforeAutospacing="1" w:line="276" w:lineRule="auto"/>
        <w:jc w:val="both"/>
        <w:rPr>
          <w:rFonts w:ascii="Times New Roman" w:hAnsi="Times New Roman" w:cs="Times New Roman"/>
          <w:sz w:val="24"/>
        </w:rPr>
      </w:pPr>
      <w:r>
        <w:rPr>
          <w:rFonts w:ascii="Times New Roman" w:hAnsi="Times New Roman" w:cs="Times New Roman"/>
          <w:color w:val="000000"/>
          <w:sz w:val="24"/>
        </w:rPr>
        <w:t>As empresas, que apresentarem resultado inferior ou igual a 1(um) em qualquer dos índices de Liquidez Geral (LG), Solvência Geral (SG) e Liquidez Corrente (LC), deverão comprovar capital ou patrimônio líquido mínimo de 10% (dez por cento) do valor total estimado da contratação ou do item pertinente.</w:t>
      </w:r>
    </w:p>
    <w:p>
      <w:pPr>
        <w:numPr>
          <w:ilvl w:val="0"/>
          <w:numId w:val="7"/>
        </w:numPr>
        <w:spacing w:before="100" w:beforeAutospacing="1" w:line="276" w:lineRule="auto"/>
        <w:rPr>
          <w:rFonts w:ascii="Times New Roman" w:hAnsi="Times New Roman" w:cs="Times New Roman"/>
          <w:sz w:val="24"/>
        </w:rPr>
      </w:pPr>
      <w:r>
        <w:rPr>
          <w:rFonts w:ascii="Times New Roman" w:hAnsi="Times New Roman" w:cs="Times New Roman"/>
          <w:b/>
          <w:bCs/>
          <w:color w:val="000000"/>
          <w:sz w:val="24"/>
        </w:rPr>
        <w:t>Qualificação Técnica</w:t>
      </w:r>
    </w:p>
    <w:p>
      <w:pPr>
        <w:pStyle w:val="8"/>
        <w:numPr>
          <w:ilvl w:val="1"/>
          <w:numId w:val="8"/>
        </w:numPr>
        <w:spacing w:before="100" w:beforeAutospacing="1" w:line="276" w:lineRule="auto"/>
        <w:jc w:val="both"/>
        <w:rPr>
          <w:rFonts w:ascii="Times New Roman" w:hAnsi="Times New Roman" w:cs="Times New Roman"/>
          <w:sz w:val="24"/>
        </w:rPr>
      </w:pPr>
      <w:r>
        <w:rPr>
          <w:rFonts w:ascii="Times New Roman" w:hAnsi="Times New Roman" w:cs="Times New Roman"/>
          <w:color w:val="000000"/>
          <w:sz w:val="24"/>
        </w:rPr>
        <w:t>Registro ou inscrição da empresa na ANVISA, em plena validade; e</w:t>
      </w:r>
    </w:p>
    <w:p>
      <w:pPr>
        <w:pStyle w:val="8"/>
        <w:numPr>
          <w:ilvl w:val="1"/>
          <w:numId w:val="8"/>
        </w:numPr>
        <w:shd w:val="clear" w:color="auto" w:fill="FFFFFF"/>
        <w:spacing w:before="100" w:beforeAutospacing="1" w:line="276" w:lineRule="auto"/>
        <w:ind w:left="-200" w:leftChars="-100"/>
        <w:jc w:val="both"/>
        <w:rPr>
          <w:rFonts w:ascii="Times New Roman" w:hAnsi="Times New Roman" w:cs="Times New Roman"/>
          <w:sz w:val="24"/>
        </w:rPr>
      </w:pPr>
      <w:r>
        <w:rPr>
          <w:rFonts w:ascii="Times New Roman" w:hAnsi="Times New Roman" w:cs="Times New Roman"/>
          <w:color w:val="000000"/>
          <w:sz w:val="24"/>
        </w:rPr>
        <w:t xml:space="preserve">Comprovação de aptidão para a prestação dos serviços em características, quantidades e prazos </w:t>
      </w:r>
      <w:r>
        <w:rPr>
          <w:rFonts w:ascii="Times New Roman" w:hAnsi="Times New Roman" w:cs="Times New Roman"/>
          <w:sz w:val="24"/>
        </w:rPr>
        <w:t>compatíveis</w:t>
      </w:r>
      <w:r>
        <w:rPr>
          <w:rFonts w:ascii="Times New Roman" w:hAnsi="Times New Roman" w:cs="Times New Roman"/>
          <w:color w:val="000000"/>
          <w:sz w:val="24"/>
        </w:rPr>
        <w:t xml:space="preserve"> com o objeto desta dispensa, ou com o item pertinente, mediante a apresentação de atestado(s) fornecido(s) por pessoas jurídicas de direito público ou privado. </w:t>
      </w:r>
    </w:p>
    <w:p>
      <w:pPr>
        <w:tabs>
          <w:tab w:val="left" w:pos="1417"/>
          <w:tab w:val="left" w:pos="4536"/>
        </w:tabs>
        <w:jc w:val="center"/>
        <w:rPr>
          <w:rFonts w:ascii="Times New Roman" w:hAnsi="Times New Roman" w:cs="Times New Roman"/>
          <w:b/>
          <w:szCs w:val="20"/>
        </w:rPr>
      </w:pPr>
      <w:r>
        <w:rPr>
          <w:lang w:eastAsia="pt-BR" w:bidi="ar-SA"/>
        </w:rPr>
        <w:drawing>
          <wp:inline distT="0" distB="0" distL="114300" distR="114300">
            <wp:extent cx="665480" cy="860425"/>
            <wp:effectExtent l="0" t="0" r="1270" b="15875"/>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4"/>
                    <a:srcRect l="-90" t="-81" r="-90" b="-81"/>
                    <a:stretch>
                      <a:fillRect/>
                    </a:stretch>
                  </pic:blipFill>
                  <pic:spPr>
                    <a:xfrm>
                      <a:off x="0" y="0"/>
                      <a:ext cx="665480" cy="860425"/>
                    </a:xfrm>
                    <a:prstGeom prst="rect">
                      <a:avLst/>
                    </a:prstGeom>
                    <a:solidFill>
                      <a:srgbClr val="FFFFFF"/>
                    </a:solidFill>
                    <a:ln>
                      <a:noFill/>
                    </a:ln>
                  </pic:spPr>
                </pic:pic>
              </a:graphicData>
            </a:graphic>
          </wp:inline>
        </w:drawing>
      </w:r>
    </w:p>
    <w:p>
      <w:pPr>
        <w:tabs>
          <w:tab w:val="left" w:pos="1417"/>
          <w:tab w:val="left" w:pos="4536"/>
        </w:tabs>
        <w:jc w:val="center"/>
      </w:pPr>
      <w:r>
        <w:rPr>
          <w:rFonts w:ascii="Times New Roman" w:hAnsi="Times New Roman" w:cs="Times New Roman"/>
          <w:b/>
          <w:szCs w:val="20"/>
        </w:rPr>
        <w:t>MINISTÉRIO DA DEFESA</w:t>
      </w:r>
    </w:p>
    <w:p>
      <w:pPr>
        <w:tabs>
          <w:tab w:val="left" w:pos="1417"/>
          <w:tab w:val="left" w:pos="4536"/>
        </w:tabs>
        <w:jc w:val="center"/>
      </w:pPr>
      <w:r>
        <w:rPr>
          <w:rFonts w:ascii="Times New Roman" w:hAnsi="Times New Roman" w:cs="Times New Roman"/>
          <w:b/>
          <w:szCs w:val="20"/>
        </w:rPr>
        <w:t>EXÉRCITO BRASILEIRO</w:t>
      </w:r>
    </w:p>
    <w:p>
      <w:pPr>
        <w:tabs>
          <w:tab w:val="left" w:pos="1417"/>
          <w:tab w:val="left" w:pos="4536"/>
        </w:tabs>
        <w:jc w:val="center"/>
      </w:pPr>
      <w:r>
        <w:rPr>
          <w:rFonts w:ascii="Times New Roman" w:hAnsi="Times New Roman" w:cs="Times New Roman"/>
          <w:b/>
          <w:szCs w:val="20"/>
        </w:rPr>
        <w:t>COMANDO 4ª REGIÃO MILITAR</w:t>
      </w:r>
    </w:p>
    <w:p>
      <w:pPr>
        <w:jc w:val="center"/>
      </w:pPr>
      <w:r>
        <w:rPr>
          <w:rFonts w:ascii="Times New Roman" w:hAnsi="Times New Roman" w:cs="Times New Roman"/>
          <w:b/>
          <w:szCs w:val="20"/>
        </w:rPr>
        <w:t>(4ª Região Militar/1891)</w:t>
      </w:r>
    </w:p>
    <w:p>
      <w:pPr>
        <w:jc w:val="center"/>
      </w:pPr>
      <w:r>
        <w:rPr>
          <w:rFonts w:ascii="Times New Roman" w:hAnsi="Times New Roman" w:cs="Times New Roman"/>
          <w:b/>
          <w:szCs w:val="20"/>
        </w:rPr>
        <w:t>REGIÃO DAS MINAS DO OURO</w:t>
      </w:r>
    </w:p>
    <w:p>
      <w:pPr>
        <w:keepNext/>
        <w:tabs>
          <w:tab w:val="left" w:pos="0"/>
        </w:tabs>
        <w:jc w:val="center"/>
      </w:pPr>
      <w:r>
        <w:rPr>
          <w:rFonts w:ascii="Times New Roman" w:hAnsi="Times New Roman" w:cs="Times New Roman"/>
          <w:szCs w:val="20"/>
        </w:rPr>
        <w:t>Rua Juiz de Fora, nº 900, Barro Preto – Belo Horizonte / MG CEP: 30.180-060</w:t>
      </w:r>
    </w:p>
    <w:p>
      <w:pPr>
        <w:keepNext/>
        <w:tabs>
          <w:tab w:val="left" w:pos="0"/>
        </w:tabs>
        <w:jc w:val="center"/>
      </w:pPr>
      <w:r>
        <w:rPr>
          <w:rFonts w:ascii="Times New Roman" w:hAnsi="Times New Roman" w:cs="Times New Roman"/>
          <w:szCs w:val="20"/>
        </w:rPr>
        <w:t>Tel: (31) 3508-9849 - e-mail: aquisfusexbh@gmail.com</w:t>
      </w:r>
    </w:p>
    <w:p>
      <w:pPr>
        <w:jc w:val="center"/>
        <w:rPr>
          <w:rFonts w:ascii="Times New Roman" w:hAnsi="Times New Roman"/>
          <w:sz w:val="21"/>
          <w:szCs w:val="21"/>
        </w:rPr>
      </w:pPr>
    </w:p>
    <w:p>
      <w:pPr>
        <w:spacing w:line="360" w:lineRule="auto"/>
        <w:ind w:right="-1"/>
        <w:jc w:val="center"/>
        <w:rPr>
          <w:rFonts w:hint="default"/>
          <w:lang w:val="pt-BR"/>
        </w:rPr>
      </w:pPr>
      <w:r>
        <w:rPr>
          <w:rFonts w:ascii="Times New Roman" w:hAnsi="Times New Roman"/>
          <w:b/>
          <w:bCs/>
          <w:sz w:val="21"/>
          <w:szCs w:val="21"/>
        </w:rPr>
        <w:t xml:space="preserve">AVISO DE DISPENSA ELETRÔNICA nº </w:t>
      </w:r>
      <w:r>
        <w:rPr>
          <w:rFonts w:hint="default" w:ascii="Times New Roman" w:hAnsi="Times New Roman"/>
          <w:b/>
          <w:bCs/>
          <w:sz w:val="21"/>
          <w:szCs w:val="21"/>
          <w:lang w:val="pt-BR"/>
        </w:rPr>
        <w:t>561</w:t>
      </w:r>
      <w:r>
        <w:rPr>
          <w:rFonts w:ascii="Times New Roman" w:hAnsi="Times New Roman"/>
          <w:b/>
          <w:bCs/>
          <w:sz w:val="21"/>
          <w:szCs w:val="21"/>
        </w:rPr>
        <w:t>/202</w:t>
      </w:r>
      <w:r>
        <w:rPr>
          <w:rFonts w:hint="default" w:ascii="Times New Roman" w:hAnsi="Times New Roman"/>
          <w:b/>
          <w:bCs/>
          <w:sz w:val="21"/>
          <w:szCs w:val="21"/>
          <w:lang w:val="pt-BR"/>
        </w:rPr>
        <w:t>3</w:t>
      </w:r>
    </w:p>
    <w:p>
      <w:pPr>
        <w:pStyle w:val="9"/>
        <w:spacing w:line="360" w:lineRule="auto"/>
        <w:ind w:left="0" w:firstLine="0"/>
        <w:jc w:val="center"/>
      </w:pPr>
      <w:r>
        <w:rPr>
          <w:rFonts w:ascii="Times New Roman" w:hAnsi="Times New Roman"/>
          <w:b/>
          <w:sz w:val="21"/>
          <w:szCs w:val="21"/>
        </w:rPr>
        <w:t>Anexo II - TERMO DE REFERÊNCIA</w:t>
      </w:r>
    </w:p>
    <w:p>
      <w:pPr>
        <w:pStyle w:val="9"/>
        <w:spacing w:line="360" w:lineRule="auto"/>
        <w:ind w:left="0" w:firstLine="0"/>
        <w:jc w:val="center"/>
      </w:pPr>
      <w:r>
        <w:rPr>
          <w:rFonts w:ascii="Times New Roman" w:hAnsi="Times New Roman"/>
          <w:b/>
          <w:bCs/>
          <w:sz w:val="21"/>
          <w:szCs w:val="21"/>
        </w:rPr>
        <w:t>(NUP:</w:t>
      </w:r>
      <w:r>
        <w:rPr>
          <w:rFonts w:hint="default" w:ascii="Times New Roman" w:hAnsi="Times New Roman" w:cs="Times New Roman"/>
          <w:b/>
          <w:bCs/>
          <w:color w:val="000000"/>
          <w:sz w:val="24"/>
          <w:u w:val="single"/>
          <w:lang w:val="pt-BR"/>
        </w:rPr>
        <w:t>64316.111219/2023-67</w:t>
      </w:r>
      <w:r>
        <w:rPr>
          <w:rFonts w:ascii="Times New Roman" w:hAnsi="Times New Roman"/>
          <w:b/>
          <w:bCs/>
          <w:sz w:val="22"/>
          <w:szCs w:val="22"/>
          <w:u w:val="single"/>
          <w:lang w:eastAsia="pt-BR"/>
        </w:rPr>
        <w:t>)</w:t>
      </w:r>
    </w:p>
    <w:p>
      <w:pPr>
        <w:pStyle w:val="10"/>
        <w:snapToGrid w:val="0"/>
        <w:spacing w:line="360" w:lineRule="auto"/>
        <w:rPr>
          <w:rFonts w:ascii="Times New Roman" w:hAnsi="Times New Roman" w:cs="Times New Roman"/>
          <w:b/>
          <w:bCs/>
          <w:sz w:val="20"/>
          <w:szCs w:val="20"/>
          <w:lang w:eastAsia="pt-BR"/>
        </w:rPr>
      </w:pPr>
    </w:p>
    <w:p>
      <w:pPr>
        <w:pStyle w:val="10"/>
        <w:snapToGrid w:val="0"/>
        <w:spacing w:line="360" w:lineRule="auto"/>
      </w:pPr>
      <w:r>
        <w:rPr>
          <w:rFonts w:ascii="Times New Roman" w:hAnsi="Times New Roman" w:cs="Times New Roman"/>
          <w:b/>
          <w:bCs/>
          <w:sz w:val="22"/>
          <w:szCs w:val="22"/>
          <w:lang w:eastAsia="pt-BR"/>
        </w:rPr>
        <w:t xml:space="preserve">OM: </w:t>
      </w:r>
      <w:r>
        <w:rPr>
          <w:rFonts w:ascii="Times New Roman" w:hAnsi="Times New Roman" w:cs="Times New Roman"/>
          <w:sz w:val="22"/>
          <w:szCs w:val="22"/>
          <w:lang w:eastAsia="pt-BR"/>
        </w:rPr>
        <w:t>Cmdo da 4ª RM</w:t>
      </w:r>
    </w:p>
    <w:p>
      <w:pPr>
        <w:pStyle w:val="10"/>
        <w:snapToGrid w:val="0"/>
        <w:spacing w:line="360" w:lineRule="auto"/>
      </w:pPr>
      <w:r>
        <w:rPr>
          <w:rFonts w:ascii="Times New Roman" w:hAnsi="Times New Roman" w:cs="Times New Roman"/>
          <w:b/>
          <w:bCs/>
          <w:sz w:val="22"/>
          <w:szCs w:val="22"/>
          <w:lang w:eastAsia="pt-BR"/>
        </w:rPr>
        <w:t xml:space="preserve">Setor Requisitante: </w:t>
      </w:r>
      <w:r>
        <w:rPr>
          <w:rFonts w:ascii="Times New Roman" w:hAnsi="Times New Roman" w:cs="Times New Roman"/>
          <w:sz w:val="22"/>
          <w:szCs w:val="22"/>
          <w:lang w:eastAsia="pt-BR"/>
        </w:rPr>
        <w:t>Almoxarifado</w:t>
      </w:r>
    </w:p>
    <w:p>
      <w:pPr>
        <w:pStyle w:val="10"/>
        <w:snapToGrid w:val="0"/>
        <w:spacing w:line="360" w:lineRule="auto"/>
      </w:pPr>
      <w:r>
        <w:rPr>
          <w:rFonts w:ascii="Times New Roman" w:hAnsi="Times New Roman" w:cs="Times New Roman"/>
          <w:b/>
          <w:bCs/>
          <w:sz w:val="22"/>
          <w:szCs w:val="22"/>
          <w:lang w:eastAsia="pt-BR"/>
        </w:rPr>
        <w:t xml:space="preserve">Responsável pela Demanda: </w:t>
      </w:r>
      <w:r>
        <w:rPr>
          <w:rFonts w:ascii="Times New Roman" w:hAnsi="Times New Roman" w:cs="Times New Roman"/>
          <w:sz w:val="22"/>
          <w:szCs w:val="22"/>
          <w:lang w:eastAsia="pt-BR"/>
        </w:rPr>
        <w:t>Cap Júlio César</w:t>
      </w:r>
    </w:p>
    <w:p>
      <w:pPr>
        <w:pStyle w:val="10"/>
        <w:snapToGrid w:val="0"/>
        <w:spacing w:line="360" w:lineRule="auto"/>
        <w:jc w:val="both"/>
        <w:rPr>
          <w:rFonts w:ascii="Times New Roman" w:hAnsi="Times New Roman" w:cs="Times New Roman"/>
          <w:b/>
          <w:bCs/>
          <w:sz w:val="22"/>
          <w:szCs w:val="22"/>
          <w:lang w:eastAsia="pt-BR"/>
        </w:rPr>
      </w:pPr>
      <w:r>
        <w:rPr>
          <w:rFonts w:ascii="Times New Roman" w:hAnsi="Times New Roman" w:cs="Times New Roman"/>
          <w:b/>
          <w:bCs/>
          <w:sz w:val="22"/>
          <w:szCs w:val="22"/>
          <w:lang w:eastAsia="pt-BR"/>
        </w:rPr>
        <w:t xml:space="preserve">E-mail: </w:t>
      </w:r>
      <w:r>
        <w:rPr>
          <w:rFonts w:ascii="Times New Roman" w:hAnsi="Times New Roman" w:cs="Times New Roman"/>
          <w:sz w:val="22"/>
          <w:szCs w:val="22"/>
          <w:lang w:eastAsia="pt-BR"/>
        </w:rPr>
        <w:fldChar w:fldCharType="begin"/>
      </w:r>
      <w:r>
        <w:rPr>
          <w:rFonts w:ascii="Times New Roman" w:hAnsi="Times New Roman" w:cs="Times New Roman"/>
          <w:sz w:val="22"/>
          <w:szCs w:val="22"/>
          <w:lang w:eastAsia="pt-BR"/>
        </w:rPr>
        <w:instrText xml:space="preserve"> HYPERLINK "mailto:aquisfusexbh@gmail.com" </w:instrText>
      </w:r>
      <w:r>
        <w:rPr>
          <w:rFonts w:ascii="Times New Roman" w:hAnsi="Times New Roman" w:cs="Times New Roman"/>
          <w:sz w:val="22"/>
          <w:szCs w:val="22"/>
          <w:lang w:eastAsia="pt-BR"/>
        </w:rPr>
        <w:fldChar w:fldCharType="separate"/>
      </w:r>
      <w:r>
        <w:rPr>
          <w:rStyle w:val="4"/>
          <w:rFonts w:ascii="Times New Roman" w:hAnsi="Times New Roman" w:cs="Times New Roman"/>
          <w:sz w:val="22"/>
          <w:szCs w:val="22"/>
          <w:lang w:val="pt-BR" w:eastAsia="pt-BR"/>
        </w:rPr>
        <w:t>aquisfusexbh</w:t>
      </w:r>
      <w:r>
        <w:rPr>
          <w:rStyle w:val="4"/>
          <w:rFonts w:ascii="Times New Roman" w:hAnsi="Times New Roman" w:cs="Times New Roman"/>
          <w:sz w:val="22"/>
          <w:szCs w:val="22"/>
          <w:lang w:eastAsia="pt-BR"/>
        </w:rPr>
        <w:t>@gmail.com</w:t>
      </w:r>
      <w:r>
        <w:rPr>
          <w:rFonts w:ascii="Times New Roman" w:hAnsi="Times New Roman" w:cs="Times New Roman"/>
          <w:sz w:val="22"/>
          <w:szCs w:val="22"/>
          <w:lang w:eastAsia="pt-BR"/>
        </w:rPr>
        <w:fldChar w:fldCharType="end"/>
      </w:r>
    </w:p>
    <w:p>
      <w:pPr>
        <w:pStyle w:val="10"/>
        <w:snapToGrid w:val="0"/>
        <w:spacing w:line="360" w:lineRule="auto"/>
        <w:jc w:val="both"/>
      </w:pPr>
      <w:r>
        <w:rPr>
          <w:rFonts w:ascii="Times New Roman" w:hAnsi="Times New Roman" w:cs="Times New Roman"/>
          <w:b/>
          <w:bCs/>
          <w:sz w:val="22"/>
          <w:szCs w:val="22"/>
          <w:highlight w:val="white"/>
          <w:lang w:eastAsia="pt-BR"/>
        </w:rPr>
        <w:t>Telefone:</w:t>
      </w:r>
      <w:r>
        <w:rPr>
          <w:rFonts w:ascii="Times New Roman" w:hAnsi="Times New Roman" w:cs="Times New Roman"/>
          <w:sz w:val="22"/>
          <w:szCs w:val="22"/>
          <w:highlight w:val="white"/>
          <w:lang w:eastAsia="pt-BR"/>
        </w:rPr>
        <w:t xml:space="preserve"> 31 – 3508-9849</w:t>
      </w:r>
    </w:p>
    <w:p>
      <w:pPr>
        <w:pStyle w:val="11"/>
        <w:rPr>
          <w:rFonts w:ascii="Times New Roman" w:hAnsi="Times New Roman" w:cs="Times New Roman"/>
          <w:b/>
          <w:bCs/>
          <w:sz w:val="22"/>
          <w:szCs w:val="22"/>
          <w:highlight w:val="white"/>
          <w:lang w:eastAsia="pt-BR"/>
        </w:rPr>
      </w:pPr>
    </w:p>
    <w:p>
      <w:pPr>
        <w:pStyle w:val="10"/>
        <w:widowControl/>
        <w:tabs>
          <w:tab w:val="left" w:pos="1003"/>
        </w:tabs>
        <w:snapToGrid w:val="0"/>
        <w:spacing w:line="360" w:lineRule="auto"/>
        <w:jc w:val="both"/>
      </w:pPr>
      <w:r>
        <w:rPr>
          <w:rFonts w:ascii="Times New Roman" w:hAnsi="Times New Roman"/>
          <w:b/>
          <w:bCs/>
          <w:highlight w:val="white"/>
          <w:lang w:eastAsia="pt-BR"/>
        </w:rPr>
        <w:t xml:space="preserve">1. OBJETO: </w:t>
      </w:r>
    </w:p>
    <w:tbl>
      <w:tblPr>
        <w:tblStyle w:val="3"/>
        <w:tblW w:w="9203"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4038"/>
        <w:gridCol w:w="851"/>
        <w:gridCol w:w="850"/>
        <w:gridCol w:w="1134"/>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noWrap w:val="0"/>
            <w:vAlign w:val="center"/>
          </w:tcPr>
          <w:p>
            <w:pPr>
              <w:ind w:right="-45" w:rightChars="0"/>
              <w:jc w:val="center"/>
              <w:rPr>
                <w:rFonts w:ascii="Times New Roman" w:hAnsi="Times New Roman" w:cs="Times New Roman"/>
                <w:b/>
                <w:sz w:val="24"/>
              </w:rPr>
            </w:pPr>
            <w:r>
              <w:rPr>
                <w:rFonts w:ascii="Times New Roman" w:hAnsi="Times New Roman" w:cs="Times New Roman"/>
                <w:b/>
                <w:sz w:val="24"/>
              </w:rPr>
              <w:t>Item</w:t>
            </w:r>
          </w:p>
        </w:tc>
        <w:tc>
          <w:tcPr>
            <w:tcW w:w="4038" w:type="dxa"/>
            <w:noWrap w:val="0"/>
            <w:vAlign w:val="center"/>
          </w:tcPr>
          <w:p>
            <w:pPr>
              <w:jc w:val="center"/>
              <w:rPr>
                <w:rFonts w:ascii="Times New Roman" w:hAnsi="Times New Roman" w:cs="Times New Roman"/>
                <w:b/>
                <w:sz w:val="24"/>
              </w:rPr>
            </w:pPr>
            <w:r>
              <w:rPr>
                <w:rFonts w:ascii="Times New Roman" w:hAnsi="Times New Roman" w:cs="Times New Roman"/>
                <w:b/>
                <w:sz w:val="24"/>
              </w:rPr>
              <w:t>Descrição</w:t>
            </w:r>
          </w:p>
        </w:tc>
        <w:tc>
          <w:tcPr>
            <w:tcW w:w="851" w:type="dxa"/>
            <w:noWrap w:val="0"/>
            <w:vAlign w:val="center"/>
          </w:tcPr>
          <w:p>
            <w:pPr>
              <w:jc w:val="center"/>
              <w:rPr>
                <w:rFonts w:ascii="Times New Roman" w:hAnsi="Times New Roman" w:cs="Times New Roman"/>
                <w:b/>
                <w:sz w:val="24"/>
              </w:rPr>
            </w:pPr>
            <w:r>
              <w:rPr>
                <w:rFonts w:ascii="Times New Roman" w:hAnsi="Times New Roman" w:cs="Times New Roman"/>
                <w:b/>
                <w:sz w:val="24"/>
              </w:rPr>
              <w:t>Und</w:t>
            </w:r>
          </w:p>
        </w:tc>
        <w:tc>
          <w:tcPr>
            <w:tcW w:w="850" w:type="dxa"/>
            <w:noWrap w:val="0"/>
            <w:vAlign w:val="center"/>
          </w:tcPr>
          <w:p>
            <w:pPr>
              <w:jc w:val="center"/>
              <w:rPr>
                <w:rFonts w:ascii="Times New Roman" w:hAnsi="Times New Roman" w:cs="Times New Roman"/>
                <w:b/>
                <w:sz w:val="24"/>
              </w:rPr>
            </w:pPr>
            <w:r>
              <w:rPr>
                <w:rFonts w:ascii="Times New Roman" w:hAnsi="Times New Roman" w:cs="Times New Roman"/>
                <w:b/>
                <w:sz w:val="24"/>
              </w:rPr>
              <w:t>Qtde</w:t>
            </w:r>
          </w:p>
        </w:tc>
        <w:tc>
          <w:tcPr>
            <w:tcW w:w="1134" w:type="dxa"/>
            <w:noWrap w:val="0"/>
            <w:vAlign w:val="center"/>
          </w:tcPr>
          <w:p>
            <w:pPr>
              <w:jc w:val="center"/>
              <w:textAlignment w:val="center"/>
              <w:rPr>
                <w:rFonts w:ascii="Times New Roman" w:hAnsi="Times New Roman" w:cs="Times New Roman"/>
                <w:b/>
                <w:sz w:val="24"/>
              </w:rPr>
            </w:pPr>
            <w:r>
              <w:rPr>
                <w:rFonts w:ascii="Times New Roman" w:hAnsi="Times New Roman" w:eastAsia="SimSun" w:cs="Times New Roman"/>
                <w:b/>
                <w:bCs/>
                <w:color w:val="000000"/>
                <w:sz w:val="24"/>
                <w:lang w:val="en-US" w:eastAsia="zh-CN" w:bidi="ar"/>
              </w:rPr>
              <w:t>Valor máximo Unitário</w:t>
            </w:r>
          </w:p>
        </w:tc>
        <w:tc>
          <w:tcPr>
            <w:tcW w:w="1634" w:type="dxa"/>
            <w:noWrap w:val="0"/>
            <w:vAlign w:val="center"/>
          </w:tcPr>
          <w:p>
            <w:pPr>
              <w:jc w:val="center"/>
              <w:textAlignment w:val="center"/>
              <w:rPr>
                <w:rFonts w:ascii="Times New Roman" w:hAnsi="Times New Roman" w:cs="Times New Roman"/>
                <w:b/>
                <w:sz w:val="24"/>
              </w:rPr>
            </w:pPr>
            <w:r>
              <w:rPr>
                <w:rFonts w:ascii="Times New Roman" w:hAnsi="Times New Roman" w:eastAsia="SimSun" w:cs="Times New Roman"/>
                <w:b/>
                <w:bCs/>
                <w:color w:val="000000"/>
                <w:sz w:val="24"/>
                <w:lang w:val="en-US" w:eastAsia="zh-CN" w:bidi="ar"/>
              </w:rPr>
              <w:t xml:space="preserve">Valor máximo Total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696" w:type="dxa"/>
            <w:noWrap w:val="0"/>
            <w:vAlign w:val="center"/>
          </w:tcPr>
          <w:p>
            <w:pPr>
              <w:jc w:val="center"/>
              <w:rPr>
                <w:rFonts w:ascii="Times New Roman" w:hAnsi="Times New Roman" w:cs="Times New Roman"/>
                <w:sz w:val="24"/>
              </w:rPr>
            </w:pPr>
            <w:r>
              <w:rPr>
                <w:rFonts w:ascii="Times New Roman" w:hAnsi="Times New Roman" w:cs="Times New Roman"/>
                <w:sz w:val="24"/>
              </w:rPr>
              <w:t>1</w:t>
            </w:r>
          </w:p>
        </w:tc>
        <w:tc>
          <w:tcPr>
            <w:tcW w:w="4038" w:type="dxa"/>
            <w:noWrap w:val="0"/>
            <w:vAlign w:val="center"/>
          </w:tcPr>
          <w:p>
            <w:pPr>
              <w:keepNext w:val="0"/>
              <w:keepLines w:val="0"/>
              <w:widowControl/>
              <w:suppressLineNumbers w:val="0"/>
              <w:jc w:val="center"/>
              <w:textAlignment w:val="center"/>
              <w:rPr>
                <w:rFonts w:ascii="Times New Roman" w:hAnsi="Times New Roman" w:cs="Times New Roman"/>
                <w:b w:val="0"/>
                <w:bCs w:val="0"/>
                <w:sz w:val="24"/>
                <w:szCs w:val="24"/>
              </w:rPr>
            </w:pPr>
            <w:r>
              <w:rPr>
                <w:rFonts w:hint="default" w:ascii="Times New Roman" w:hAnsi="Times New Roman" w:eastAsia="SimSun" w:cs="Times New Roman"/>
                <w:b/>
                <w:bCs/>
                <w:i w:val="0"/>
                <w:iCs w:val="0"/>
                <w:color w:val="000000"/>
                <w:kern w:val="0"/>
                <w:sz w:val="24"/>
                <w:szCs w:val="24"/>
                <w:u w:val="none"/>
                <w:lang w:val="en-US" w:eastAsia="zh-CN" w:bidi="ar"/>
              </w:rPr>
              <w:t>BOLSA PARA COLOSTOMIA</w:t>
            </w:r>
          </w:p>
        </w:tc>
        <w:tc>
          <w:tcPr>
            <w:tcW w:w="851" w:type="dxa"/>
            <w:noWrap w:val="0"/>
            <w:vAlign w:val="center"/>
          </w:tcPr>
          <w:p>
            <w:pPr>
              <w:jc w:val="center"/>
              <w:rPr>
                <w:rFonts w:ascii="Times New Roman" w:hAnsi="Times New Roman" w:cs="Times New Roman"/>
                <w:sz w:val="24"/>
              </w:rPr>
            </w:pPr>
            <w:r>
              <w:rPr>
                <w:rFonts w:ascii="Times New Roman" w:hAnsi="Times New Roman" w:cs="Times New Roman"/>
                <w:sz w:val="24"/>
              </w:rPr>
              <w:t>Mês</w:t>
            </w:r>
          </w:p>
        </w:tc>
        <w:tc>
          <w:tcPr>
            <w:tcW w:w="850" w:type="dxa"/>
            <w:noWrap w:val="0"/>
            <w:vAlign w:val="center"/>
          </w:tcPr>
          <w:p>
            <w:pPr>
              <w:jc w:val="center"/>
              <w:rPr>
                <w:rFonts w:ascii="Times New Roman" w:hAnsi="Times New Roman" w:cs="Times New Roman"/>
                <w:sz w:val="24"/>
              </w:rPr>
            </w:pPr>
            <w:r>
              <w:rPr>
                <w:rFonts w:hint="default" w:ascii="Times New Roman" w:hAnsi="Times New Roman" w:cs="Times New Roman"/>
                <w:sz w:val="24"/>
                <w:lang w:val="pt-BR"/>
              </w:rPr>
              <w:t>180</w:t>
            </w:r>
          </w:p>
        </w:tc>
        <w:tc>
          <w:tcPr>
            <w:tcW w:w="1134" w:type="dxa"/>
            <w:noWrap w:val="0"/>
            <w:vAlign w:val="center"/>
          </w:tcPr>
          <w:p>
            <w:pPr>
              <w:jc w:val="center"/>
              <w:textAlignment w:val="center"/>
              <w:rPr>
                <w:rFonts w:hint="default" w:ascii="Times New Roman" w:hAnsi="Times New Roman" w:cs="Times New Roman"/>
                <w:sz w:val="24"/>
                <w:lang w:val="pt-BR"/>
              </w:rPr>
            </w:pPr>
            <w:r>
              <w:rPr>
                <w:rFonts w:ascii="Times New Roman" w:hAnsi="Times New Roman" w:eastAsia="SimSun" w:cs="Times New Roman"/>
                <w:bCs/>
                <w:color w:val="000000"/>
                <w:sz w:val="24"/>
                <w:lang w:val="en-US" w:eastAsia="zh-CN" w:bidi="ar"/>
              </w:rPr>
              <w:t xml:space="preserve">R$ </w:t>
            </w:r>
            <w:r>
              <w:rPr>
                <w:rFonts w:hint="default" w:ascii="Times New Roman" w:hAnsi="Times New Roman" w:eastAsia="SimSun" w:cs="Times New Roman"/>
                <w:bCs/>
                <w:color w:val="000000"/>
                <w:sz w:val="24"/>
                <w:lang w:val="pt-BR" w:eastAsia="zh-CN" w:bidi="ar"/>
              </w:rPr>
              <w:t>38,64</w:t>
            </w:r>
          </w:p>
        </w:tc>
        <w:tc>
          <w:tcPr>
            <w:tcW w:w="1634" w:type="dxa"/>
            <w:noWrap w:val="0"/>
            <w:vAlign w:val="center"/>
          </w:tcPr>
          <w:p>
            <w:pPr>
              <w:jc w:val="center"/>
              <w:textAlignment w:val="center"/>
              <w:rPr>
                <w:rFonts w:ascii="Times New Roman" w:hAnsi="Times New Roman" w:cs="Times New Roman"/>
                <w:sz w:val="24"/>
              </w:rPr>
            </w:pPr>
            <w:r>
              <w:rPr>
                <w:rFonts w:ascii="Times New Roman" w:hAnsi="Times New Roman" w:eastAsia="SimSun" w:cs="Times New Roman"/>
                <w:color w:val="000000"/>
                <w:sz w:val="24"/>
                <w:lang w:val="en-US" w:eastAsia="zh-CN" w:bidi="ar"/>
              </w:rPr>
              <w:t xml:space="preserve">R$ </w:t>
            </w:r>
            <w:r>
              <w:rPr>
                <w:rFonts w:hint="default" w:ascii="Times New Roman" w:hAnsi="Times New Roman" w:eastAsia="SimSun" w:cs="Times New Roman"/>
                <w:color w:val="000000"/>
                <w:sz w:val="24"/>
                <w:lang w:val="pt-BR" w:eastAsia="zh-CN" w:bidi="ar"/>
              </w:rPr>
              <w:t>6</w:t>
            </w:r>
            <w:r>
              <w:rPr>
                <w:rFonts w:ascii="Times New Roman" w:hAnsi="Times New Roman" w:eastAsia="SimSun" w:cs="Times New Roman"/>
                <w:color w:val="000000"/>
                <w:sz w:val="24"/>
                <w:lang w:val="en-US" w:eastAsia="zh-CN" w:bidi="ar"/>
              </w:rPr>
              <w:t>.</w:t>
            </w:r>
            <w:r>
              <w:rPr>
                <w:rFonts w:hint="default" w:ascii="Times New Roman" w:hAnsi="Times New Roman" w:eastAsia="SimSun" w:cs="Times New Roman"/>
                <w:color w:val="000000"/>
                <w:sz w:val="24"/>
                <w:lang w:val="pt-BR" w:eastAsia="zh-CN" w:bidi="ar"/>
              </w:rPr>
              <w:t>955</w:t>
            </w:r>
            <w:r>
              <w:rPr>
                <w:rFonts w:ascii="Times New Roman" w:hAnsi="Times New Roman" w:eastAsia="SimSun" w:cs="Times New Roman"/>
                <w:color w:val="000000"/>
                <w:sz w:val="24"/>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96" w:type="dxa"/>
            <w:noWrap w:val="0"/>
            <w:vAlign w:val="center"/>
          </w:tcPr>
          <w:p>
            <w:pPr>
              <w:jc w:val="center"/>
              <w:rPr>
                <w:rFonts w:hint="default" w:ascii="Times New Roman" w:hAnsi="Times New Roman" w:eastAsia="Times New Roman" w:cs="Times New Roman"/>
                <w:sz w:val="24"/>
                <w:szCs w:val="24"/>
                <w:lang w:val="en-US" w:eastAsia="pt-BR" w:bidi="ar-SA"/>
              </w:rPr>
            </w:pPr>
            <w:r>
              <w:rPr>
                <w:rFonts w:hint="default" w:ascii="Times New Roman" w:hAnsi="Times New Roman" w:cs="Times New Roman"/>
                <w:sz w:val="24"/>
                <w:lang w:val="pt-BR"/>
              </w:rPr>
              <w:t>2</w:t>
            </w:r>
          </w:p>
        </w:tc>
        <w:tc>
          <w:tcPr>
            <w:tcW w:w="4038" w:type="dxa"/>
            <w:noWrap w:val="0"/>
            <w:vAlign w:val="center"/>
          </w:tcPr>
          <w:p>
            <w:pPr>
              <w:keepNext w:val="0"/>
              <w:keepLines w:val="0"/>
              <w:widowControl/>
              <w:suppressLineNumbers w:val="0"/>
              <w:jc w:val="center"/>
              <w:textAlignment w:val="center"/>
              <w:rPr>
                <w:rFonts w:ascii="Times New Roman" w:hAnsi="Times New Roman" w:eastAsia="Times New Roman" w:cs="Times New Roman"/>
                <w:b w:val="0"/>
                <w:bCs w:val="0"/>
                <w:sz w:val="24"/>
                <w:szCs w:val="24"/>
                <w:lang w:val="pt-BR" w:eastAsia="pt-BR" w:bidi="ar-SA"/>
              </w:rPr>
            </w:pPr>
            <w:r>
              <w:rPr>
                <w:rFonts w:hint="default" w:ascii="Times New Roman" w:hAnsi="Times New Roman" w:eastAsia="SimSun" w:cs="Times New Roman"/>
                <w:b/>
                <w:bCs/>
                <w:i w:val="0"/>
                <w:iCs w:val="0"/>
                <w:color w:val="000000"/>
                <w:kern w:val="0"/>
                <w:sz w:val="24"/>
                <w:szCs w:val="24"/>
                <w:u w:val="none"/>
                <w:lang w:val="en-US" w:eastAsia="zh-CN" w:bidi="ar"/>
              </w:rPr>
              <w:t>PLACA PARA COLOSTOMIA</w:t>
            </w:r>
          </w:p>
        </w:tc>
        <w:tc>
          <w:tcPr>
            <w:tcW w:w="851" w:type="dxa"/>
            <w:noWrap w:val="0"/>
            <w:vAlign w:val="center"/>
          </w:tcPr>
          <w:p>
            <w:pPr>
              <w:jc w:val="center"/>
              <w:rPr>
                <w:rFonts w:ascii="Times New Roman" w:hAnsi="Times New Roman" w:eastAsia="Times New Roman" w:cs="Times New Roman"/>
                <w:sz w:val="24"/>
                <w:szCs w:val="24"/>
                <w:lang w:val="pt-BR" w:eastAsia="pt-BR" w:bidi="ar-SA"/>
              </w:rPr>
            </w:pPr>
            <w:r>
              <w:rPr>
                <w:rFonts w:ascii="Times New Roman" w:hAnsi="Times New Roman" w:cs="Times New Roman"/>
                <w:sz w:val="24"/>
              </w:rPr>
              <w:t>Mês</w:t>
            </w:r>
          </w:p>
        </w:tc>
        <w:tc>
          <w:tcPr>
            <w:tcW w:w="850" w:type="dxa"/>
            <w:noWrap w:val="0"/>
            <w:vAlign w:val="center"/>
          </w:tcPr>
          <w:p>
            <w:pPr>
              <w:jc w:val="center"/>
              <w:rPr>
                <w:rFonts w:hint="default" w:ascii="Times New Roman" w:hAnsi="Times New Roman" w:eastAsia="Times New Roman" w:cs="Times New Roman"/>
                <w:sz w:val="24"/>
                <w:szCs w:val="24"/>
                <w:lang w:val="en-US" w:eastAsia="pt-BR" w:bidi="ar-SA"/>
              </w:rPr>
            </w:pPr>
            <w:r>
              <w:rPr>
                <w:rFonts w:hint="default" w:ascii="Times New Roman" w:hAnsi="Times New Roman" w:cs="Times New Roman"/>
                <w:sz w:val="24"/>
                <w:szCs w:val="24"/>
                <w:lang w:val="en-US" w:eastAsia="pt-BR" w:bidi="ar-SA"/>
              </w:rPr>
              <w:t>30</w:t>
            </w:r>
          </w:p>
        </w:tc>
        <w:tc>
          <w:tcPr>
            <w:tcW w:w="1134" w:type="dxa"/>
            <w:noWrap w:val="0"/>
            <w:vAlign w:val="center"/>
          </w:tcPr>
          <w:p>
            <w:pPr>
              <w:jc w:val="center"/>
              <w:textAlignment w:val="center"/>
              <w:rPr>
                <w:rFonts w:ascii="Times New Roman" w:hAnsi="Times New Roman" w:eastAsia="Times New Roman" w:cs="Times New Roman"/>
                <w:sz w:val="24"/>
                <w:szCs w:val="24"/>
                <w:lang w:val="en-US" w:eastAsia="zh-CN" w:bidi="ar-SA"/>
              </w:rPr>
            </w:pPr>
            <w:r>
              <w:rPr>
                <w:rFonts w:ascii="Times New Roman" w:hAnsi="Times New Roman" w:eastAsia="SimSun" w:cs="Times New Roman"/>
                <w:bCs/>
                <w:color w:val="000000"/>
                <w:sz w:val="24"/>
                <w:lang w:val="en-US" w:eastAsia="zh-CN" w:bidi="ar"/>
              </w:rPr>
              <w:t xml:space="preserve">R$ </w:t>
            </w:r>
            <w:r>
              <w:rPr>
                <w:rFonts w:hint="default" w:ascii="Times New Roman" w:hAnsi="Times New Roman" w:eastAsia="SimSun" w:cs="Times New Roman"/>
                <w:bCs/>
                <w:color w:val="000000"/>
                <w:sz w:val="24"/>
                <w:lang w:val="pt-BR" w:eastAsia="zh-CN" w:bidi="ar"/>
              </w:rPr>
              <w:t>63,34</w:t>
            </w:r>
          </w:p>
        </w:tc>
        <w:tc>
          <w:tcPr>
            <w:tcW w:w="1634" w:type="dxa"/>
            <w:noWrap w:val="0"/>
            <w:vAlign w:val="center"/>
          </w:tcPr>
          <w:p>
            <w:pPr>
              <w:jc w:val="center"/>
              <w:textAlignment w:val="center"/>
              <w:rPr>
                <w:rFonts w:ascii="Times New Roman" w:hAnsi="Times New Roman" w:eastAsia="Times New Roman" w:cs="Times New Roman"/>
                <w:sz w:val="24"/>
                <w:szCs w:val="24"/>
                <w:lang w:val="en-US" w:eastAsia="zh-CN" w:bidi="ar-SA"/>
              </w:rPr>
            </w:pPr>
            <w:r>
              <w:rPr>
                <w:rFonts w:ascii="Times New Roman" w:hAnsi="Times New Roman" w:eastAsia="SimSun" w:cs="Times New Roman"/>
                <w:color w:val="000000"/>
                <w:sz w:val="24"/>
                <w:lang w:val="en-US" w:eastAsia="zh-CN" w:bidi="ar"/>
              </w:rPr>
              <w:t xml:space="preserve">R$ </w:t>
            </w:r>
            <w:r>
              <w:rPr>
                <w:rFonts w:hint="default" w:ascii="Times New Roman" w:hAnsi="Times New Roman" w:eastAsia="SimSun" w:cs="Times New Roman"/>
                <w:color w:val="000000"/>
                <w:sz w:val="24"/>
                <w:lang w:val="pt-BR" w:eastAsia="zh-CN" w:bidi="ar"/>
              </w:rPr>
              <w:t>1</w:t>
            </w:r>
            <w:r>
              <w:rPr>
                <w:rFonts w:ascii="Times New Roman" w:hAnsi="Times New Roman" w:eastAsia="SimSun" w:cs="Times New Roman"/>
                <w:color w:val="000000"/>
                <w:sz w:val="24"/>
                <w:lang w:val="en-US" w:eastAsia="zh-CN" w:bidi="ar"/>
              </w:rPr>
              <w:t>.</w:t>
            </w:r>
            <w:r>
              <w:rPr>
                <w:rFonts w:hint="default" w:ascii="Times New Roman" w:hAnsi="Times New Roman" w:eastAsia="SimSun" w:cs="Times New Roman"/>
                <w:color w:val="000000"/>
                <w:sz w:val="24"/>
                <w:lang w:val="pt-BR" w:eastAsia="zh-CN" w:bidi="ar"/>
              </w:rPr>
              <w:t>900</w:t>
            </w:r>
            <w:r>
              <w:rPr>
                <w:rFonts w:ascii="Times New Roman" w:hAnsi="Times New Roman" w:eastAsia="SimSun" w:cs="Times New Roman"/>
                <w:color w:val="000000"/>
                <w:sz w:val="24"/>
                <w:lang w:val="en-US" w:eastAsia="zh-CN" w:bidi="ar"/>
              </w:rPr>
              <w:t>,20</w:t>
            </w:r>
          </w:p>
        </w:tc>
      </w:tr>
    </w:tbl>
    <w:p>
      <w:pPr>
        <w:rPr>
          <w:rFonts w:ascii="Times New Roman" w:hAnsi="Times New Roman"/>
        </w:rPr>
      </w:pPr>
    </w:p>
    <w:p>
      <w:pPr>
        <w:pStyle w:val="10"/>
        <w:widowControl/>
        <w:tabs>
          <w:tab w:val="left" w:pos="1003"/>
          <w:tab w:val="left" w:pos="1020"/>
        </w:tabs>
        <w:snapToGrid w:val="0"/>
        <w:spacing w:line="360" w:lineRule="auto"/>
        <w:jc w:val="both"/>
      </w:pPr>
      <w:r>
        <w:rPr>
          <w:rFonts w:ascii="Times New Roman" w:hAnsi="Times New Roman"/>
          <w:b/>
          <w:bCs/>
        </w:rPr>
        <w:t xml:space="preserve">2. JUSTIFICATIVA DA NECESSIDADE E QUANTIDADE: </w:t>
      </w:r>
      <w:r>
        <w:rPr>
          <w:rStyle w:val="12"/>
          <w:rFonts w:ascii="Times New Roman" w:hAnsi="Times New Roman" w:eastAsia="Arial" w:cs="Liberation Serif"/>
          <w:color w:val="000000"/>
          <w:lang w:eastAsia="ar-SA"/>
        </w:rPr>
        <w:t>constam do documento de formalização da demanda.</w:t>
      </w:r>
    </w:p>
    <w:p>
      <w:pPr>
        <w:spacing w:line="360" w:lineRule="auto"/>
        <w:jc w:val="both"/>
        <w:rPr>
          <w:rFonts w:ascii="Times New Roman" w:hAnsi="Times New Roman"/>
          <w:b/>
          <w:bCs/>
          <w:color w:val="000000"/>
        </w:rPr>
      </w:pPr>
    </w:p>
    <w:p>
      <w:pPr>
        <w:jc w:val="both"/>
      </w:pPr>
      <w:r>
        <w:rPr>
          <w:rFonts w:ascii="Times New Roman" w:hAnsi="Times New Roman"/>
          <w:b/>
          <w:bCs/>
          <w:color w:val="000000"/>
        </w:rPr>
        <w:t>3. ENTREGA E CRITÉRIOS DE ACEITAÇÃO DO OBJETO.</w:t>
      </w:r>
    </w:p>
    <w:p>
      <w:pPr>
        <w:spacing w:line="360" w:lineRule="auto"/>
        <w:jc w:val="both"/>
      </w:pPr>
      <w:r>
        <w:rPr>
          <w:rFonts w:ascii="Times New Roman" w:hAnsi="Times New Roman"/>
          <w:b/>
          <w:bCs/>
          <w:color w:val="000000"/>
        </w:rPr>
        <w:t>3.1.</w:t>
      </w:r>
      <w:r>
        <w:rPr>
          <w:rFonts w:ascii="Times New Roman" w:hAnsi="Times New Roman"/>
          <w:color w:val="000000"/>
        </w:rPr>
        <w:t xml:space="preserve"> O prazo de entrega dos bens é de 15 (quinze) dias, contados do recebimento da Nota de Empenho, em remessa (única), no endereço abaixo</w:t>
      </w:r>
      <w:r>
        <w:t>:</w:t>
      </w:r>
    </w:p>
    <w:tbl>
      <w:tblPr>
        <w:tblStyle w:val="3"/>
        <w:tblW w:w="0" w:type="auto"/>
        <w:jc w:val="right"/>
        <w:tblLayout w:type="fixed"/>
        <w:tblCellMar>
          <w:top w:w="55" w:type="dxa"/>
          <w:left w:w="55" w:type="dxa"/>
          <w:bottom w:w="55" w:type="dxa"/>
          <w:right w:w="55" w:type="dxa"/>
        </w:tblCellMar>
      </w:tblPr>
      <w:tblGrid>
        <w:gridCol w:w="1472"/>
        <w:gridCol w:w="8133"/>
      </w:tblGrid>
      <w:tr>
        <w:tblPrEx>
          <w:tblCellMar>
            <w:top w:w="55" w:type="dxa"/>
            <w:left w:w="55" w:type="dxa"/>
            <w:bottom w:w="55" w:type="dxa"/>
            <w:right w:w="55" w:type="dxa"/>
          </w:tblCellMar>
        </w:tblPrEx>
        <w:trPr>
          <w:jc w:val="right"/>
        </w:trPr>
        <w:tc>
          <w:tcPr>
            <w:tcW w:w="1472" w:type="dxa"/>
            <w:tcBorders>
              <w:top w:val="single" w:color="000000" w:sz="4" w:space="0"/>
              <w:left w:val="single" w:color="000000" w:sz="4" w:space="0"/>
              <w:bottom w:val="single" w:color="000000" w:sz="4" w:space="0"/>
            </w:tcBorders>
            <w:noWrap w:val="0"/>
            <w:vAlign w:val="top"/>
          </w:tcPr>
          <w:p>
            <w:pPr>
              <w:pStyle w:val="13"/>
              <w:spacing w:line="360" w:lineRule="auto"/>
              <w:ind w:left="720"/>
              <w:jc w:val="both"/>
            </w:pPr>
            <w:r>
              <w:rPr>
                <w:rFonts w:ascii="Times New Roman" w:hAnsi="Times New Roman"/>
                <w:b/>
                <w:bCs/>
              </w:rPr>
              <w:t>OM</w:t>
            </w:r>
          </w:p>
        </w:tc>
        <w:tc>
          <w:tcPr>
            <w:tcW w:w="8133" w:type="dxa"/>
            <w:tcBorders>
              <w:top w:val="single" w:color="000000" w:sz="4" w:space="0"/>
              <w:left w:val="single" w:color="000000" w:sz="4" w:space="0"/>
              <w:bottom w:val="single" w:color="000000" w:sz="4" w:space="0"/>
              <w:right w:val="single" w:color="000000" w:sz="4" w:space="0"/>
            </w:tcBorders>
            <w:noWrap w:val="0"/>
            <w:vAlign w:val="top"/>
          </w:tcPr>
          <w:p>
            <w:pPr>
              <w:pStyle w:val="13"/>
              <w:spacing w:line="360" w:lineRule="auto"/>
              <w:ind w:left="720"/>
              <w:jc w:val="center"/>
            </w:pPr>
            <w:r>
              <w:rPr>
                <w:rFonts w:ascii="Times New Roman" w:hAnsi="Times New Roman"/>
                <w:b/>
                <w:bCs/>
              </w:rPr>
              <w:t>ENDEREÇO</w:t>
            </w:r>
          </w:p>
        </w:tc>
      </w:tr>
      <w:tr>
        <w:tblPrEx>
          <w:tblCellMar>
            <w:top w:w="55" w:type="dxa"/>
            <w:left w:w="55" w:type="dxa"/>
            <w:bottom w:w="55" w:type="dxa"/>
            <w:right w:w="55" w:type="dxa"/>
          </w:tblCellMar>
        </w:tblPrEx>
        <w:trPr>
          <w:jc w:val="right"/>
        </w:trPr>
        <w:tc>
          <w:tcPr>
            <w:tcW w:w="1472" w:type="dxa"/>
            <w:tcBorders>
              <w:left w:val="single" w:color="000000" w:sz="4" w:space="0"/>
              <w:bottom w:val="single" w:color="000000" w:sz="4" w:space="0"/>
            </w:tcBorders>
            <w:noWrap w:val="0"/>
            <w:vAlign w:val="top"/>
          </w:tcPr>
          <w:p>
            <w:pPr>
              <w:pStyle w:val="13"/>
              <w:spacing w:line="360" w:lineRule="auto"/>
              <w:ind w:left="720"/>
              <w:jc w:val="both"/>
            </w:pPr>
            <w:r>
              <w:rPr>
                <w:rFonts w:ascii="Times New Roman" w:hAnsi="Times New Roman"/>
              </w:rPr>
              <w:t>PMedGuBH</w:t>
            </w:r>
          </w:p>
        </w:tc>
        <w:tc>
          <w:tcPr>
            <w:tcW w:w="8133" w:type="dxa"/>
            <w:tcBorders>
              <w:left w:val="single" w:color="000000" w:sz="4" w:space="0"/>
              <w:bottom w:val="single" w:color="000000" w:sz="4" w:space="0"/>
              <w:right w:val="single" w:color="000000" w:sz="4" w:space="0"/>
            </w:tcBorders>
            <w:noWrap w:val="0"/>
            <w:vAlign w:val="top"/>
          </w:tcPr>
          <w:p>
            <w:pPr>
              <w:keepNext/>
              <w:tabs>
                <w:tab w:val="left" w:pos="0"/>
              </w:tabs>
              <w:jc w:val="center"/>
            </w:pPr>
            <w:r>
              <w:rPr>
                <w:rFonts w:ascii="Times New Roman" w:hAnsi="Times New Roman" w:cs="Times New Roman"/>
                <w:szCs w:val="20"/>
              </w:rPr>
              <w:t>Rua Juiz de Fora, nº 900, Barro Preto – Belo Horizonte / MG CEP: 30.180-060</w:t>
            </w:r>
          </w:p>
          <w:p>
            <w:pPr>
              <w:spacing w:line="360" w:lineRule="auto"/>
              <w:ind w:left="720"/>
              <w:jc w:val="center"/>
            </w:pPr>
          </w:p>
        </w:tc>
      </w:tr>
    </w:tbl>
    <w:p>
      <w:pPr>
        <w:spacing w:line="360" w:lineRule="auto"/>
        <w:ind w:left="720"/>
        <w:jc w:val="both"/>
        <w:rPr>
          <w:rFonts w:ascii="Times New Roman" w:hAnsi="Times New Roman"/>
          <w:color w:val="000000"/>
        </w:rPr>
      </w:pPr>
    </w:p>
    <w:p>
      <w:pPr>
        <w:spacing w:line="360" w:lineRule="auto"/>
        <w:ind w:left="720"/>
        <w:jc w:val="both"/>
      </w:pPr>
      <w:r>
        <w:rPr>
          <w:rFonts w:ascii="Times New Roman" w:hAnsi="Times New Roman" w:cs="Arial"/>
          <w:b/>
          <w:bCs/>
          <w:color w:val="000000"/>
        </w:rPr>
        <w:t>3.2.</w:t>
      </w:r>
      <w:r>
        <w:rPr>
          <w:rFonts w:ascii="Times New Roman" w:hAnsi="Times New Roman" w:cs="Arial"/>
          <w:color w:val="000000"/>
        </w:rPr>
        <w:t xml:space="preserve"> Os bens serão recebidos provisoriamente no prazo de 5 (cinco) dias, pelo(a) </w:t>
      </w:r>
      <w:r>
        <w:rPr>
          <w:rFonts w:ascii="Times New Roman" w:hAnsi="Times New Roman" w:cs="Arial"/>
          <w:iCs/>
          <w:color w:val="000000"/>
        </w:rPr>
        <w:t>responsável</w:t>
      </w:r>
      <w:r>
        <w:rPr>
          <w:rFonts w:ascii="Times New Roman" w:hAnsi="Times New Roman" w:cs="Arial"/>
          <w:color w:val="000000"/>
        </w:rPr>
        <w:t xml:space="preserve"> pelo acompanhamento e fiscalização do contrato, para efeito de posterior verificação de sua conformidade com as especificações constantes neste Termo de Referência e na proposta.</w:t>
      </w:r>
    </w:p>
    <w:p>
      <w:pPr>
        <w:tabs>
          <w:tab w:val="left" w:pos="3230"/>
          <w:tab w:val="left" w:pos="3455"/>
        </w:tabs>
        <w:spacing w:line="360" w:lineRule="auto"/>
        <w:ind w:left="1080"/>
        <w:jc w:val="both"/>
      </w:pPr>
      <w:r>
        <w:rPr>
          <w:rFonts w:ascii="Times New Roman" w:hAnsi="Times New Roman" w:cs="Arial"/>
          <w:b/>
          <w:bCs/>
          <w:color w:val="000000"/>
        </w:rPr>
        <w:t>3.2.1.</w:t>
      </w:r>
      <w:r>
        <w:rPr>
          <w:rFonts w:ascii="Times New Roman" w:hAnsi="Times New Roman" w:cs="Arial"/>
          <w:bCs/>
          <w:color w:val="000000"/>
        </w:rPr>
        <w:t xml:space="preserve"> Os bens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w:t>
      </w:r>
    </w:p>
    <w:p>
      <w:pPr>
        <w:spacing w:line="360" w:lineRule="auto"/>
        <w:ind w:left="720"/>
        <w:jc w:val="both"/>
      </w:pPr>
      <w:r>
        <w:rPr>
          <w:rFonts w:ascii="Times New Roman" w:hAnsi="Times New Roman" w:cs="Arial"/>
          <w:b/>
          <w:bCs/>
          <w:color w:val="000000"/>
        </w:rPr>
        <w:t>3.3.</w:t>
      </w:r>
      <w:r>
        <w:rPr>
          <w:rFonts w:ascii="Times New Roman" w:hAnsi="Times New Roman" w:cs="Arial"/>
          <w:color w:val="000000"/>
        </w:rPr>
        <w:t xml:space="preserve"> Os bens serão recebidos definitivamente no prazo de 02 (dois) dias, contados do recebimento provisório, após a verificação da qualidade e quantidade do material e consequente aceitação mediante termo circunstanciado.</w:t>
      </w:r>
    </w:p>
    <w:p>
      <w:pPr>
        <w:spacing w:line="360" w:lineRule="auto"/>
        <w:ind w:left="1080"/>
        <w:jc w:val="both"/>
      </w:pPr>
      <w:r>
        <w:rPr>
          <w:rFonts w:ascii="Times New Roman" w:hAnsi="Times New Roman" w:cs="Arial"/>
          <w:b/>
          <w:bCs/>
          <w:color w:val="000000"/>
          <w:lang w:eastAsia="en-US"/>
        </w:rPr>
        <w:t>3.3.1</w:t>
      </w:r>
      <w:r>
        <w:rPr>
          <w:rFonts w:ascii="Times New Roman" w:hAnsi="Times New Roman" w:cs="Arial"/>
          <w:color w:val="000000"/>
          <w:lang w:eastAsia="en-US"/>
        </w:rPr>
        <w:t xml:space="preserve"> Na hipótese de a verificação a que se refere o subitem anterior não ser procedida dentro do prazo fixado, reputar-se-á como realizada, consumando-se o recebimento definitivo no dia do esgotamento do prazo.</w:t>
      </w:r>
    </w:p>
    <w:p>
      <w:pPr>
        <w:spacing w:line="360" w:lineRule="auto"/>
        <w:ind w:left="720"/>
        <w:jc w:val="both"/>
      </w:pPr>
      <w:r>
        <w:rPr>
          <w:rFonts w:ascii="Times New Roman" w:hAnsi="Times New Roman" w:cs="Arial"/>
          <w:b/>
          <w:bCs/>
          <w:color w:val="000000"/>
          <w:lang w:eastAsia="en-US"/>
        </w:rPr>
        <w:t>3.4.</w:t>
      </w:r>
      <w:r>
        <w:rPr>
          <w:rFonts w:ascii="Times New Roman" w:hAnsi="Times New Roman" w:cs="Arial"/>
          <w:color w:val="000000"/>
          <w:lang w:eastAsia="en-US"/>
        </w:rPr>
        <w:t xml:space="preserve"> O recebimento provisório ou definitivo do objeto não exclui a responsabilidade da contratada pelos prejuízos resultantes da incorreta execução do contrato.</w:t>
      </w:r>
    </w:p>
    <w:p>
      <w:pPr>
        <w:ind w:left="720"/>
        <w:jc w:val="both"/>
      </w:pPr>
    </w:p>
    <w:p>
      <w:pPr>
        <w:pStyle w:val="10"/>
        <w:widowControl/>
        <w:tabs>
          <w:tab w:val="left" w:pos="1003"/>
        </w:tabs>
        <w:snapToGrid w:val="0"/>
        <w:spacing w:line="360" w:lineRule="auto"/>
        <w:jc w:val="both"/>
        <w:rPr>
          <w:rStyle w:val="12"/>
          <w:rFonts w:ascii="Times New Roman" w:hAnsi="Times New Roman" w:eastAsia="Arial" w:cs="Times New Roman"/>
          <w:color w:val="000000"/>
          <w:lang w:eastAsia="ar-SA"/>
        </w:rPr>
      </w:pPr>
      <w:r>
        <w:rPr>
          <w:rFonts w:ascii="Times New Roman" w:hAnsi="Times New Roman"/>
          <w:b/>
          <w:bCs/>
        </w:rPr>
        <w:t>4. JUSTIFICATIVA DA OPÇÃO PELA DISPENSA ELETRÔNICA</w:t>
      </w:r>
      <w:r>
        <w:rPr>
          <w:rStyle w:val="12"/>
          <w:rFonts w:ascii="Times New Roman" w:hAnsi="Times New Roman" w:eastAsia="Arial" w:cs="Times New Roman"/>
          <w:color w:val="000000"/>
          <w:highlight w:val="white"/>
          <w:lang w:eastAsia="ar-SA"/>
        </w:rPr>
        <w:t xml:space="preserve"> </w:t>
      </w:r>
    </w:p>
    <w:p>
      <w:pPr>
        <w:pStyle w:val="10"/>
        <w:widowControl/>
        <w:tabs>
          <w:tab w:val="left" w:pos="1003"/>
        </w:tabs>
        <w:snapToGrid w:val="0"/>
        <w:spacing w:line="360" w:lineRule="auto"/>
        <w:jc w:val="both"/>
      </w:pPr>
      <w:r>
        <w:t>4.1 O</w:t>
      </w:r>
      <w:r>
        <w:rPr>
          <w:rStyle w:val="12"/>
          <w:rFonts w:ascii="Times New Roman" w:hAnsi="Times New Roman" w:eastAsia="Arial" w:cs="Times New Roman"/>
          <w:color w:val="000000"/>
          <w:highlight w:val="white"/>
          <w:lang w:eastAsia="ar-SA"/>
        </w:rPr>
        <w:t xml:space="preserve"> valor se enquadra no inciso II do artigo 75 da lei 14.133/21, </w:t>
      </w:r>
      <w:r>
        <w:rPr>
          <w:rStyle w:val="12"/>
          <w:rFonts w:ascii="Times New Roman" w:hAnsi="Times New Roman" w:eastAsia="Arial" w:cs="Times New Roman"/>
          <w:color w:val="000000"/>
          <w:lang w:eastAsia="ar-SA"/>
        </w:rPr>
        <w:t>e não há processo licitatório ou registro de preços vigente, há previsão de emissão de edital de licitação com essa finalidade, porém há necessidade de aquisição urgente.</w:t>
      </w:r>
    </w:p>
    <w:p>
      <w:pPr>
        <w:pStyle w:val="10"/>
        <w:widowControl/>
        <w:tabs>
          <w:tab w:val="left" w:pos="1003"/>
        </w:tabs>
        <w:snapToGrid w:val="0"/>
        <w:spacing w:line="360" w:lineRule="auto"/>
        <w:jc w:val="both"/>
      </w:pPr>
    </w:p>
    <w:p>
      <w:pPr>
        <w:pStyle w:val="10"/>
        <w:widowControl/>
        <w:tabs>
          <w:tab w:val="left" w:pos="283"/>
        </w:tabs>
        <w:suppressAutoHyphens w:val="0"/>
        <w:snapToGrid w:val="0"/>
        <w:spacing w:before="120" w:after="120" w:line="360" w:lineRule="auto"/>
        <w:jc w:val="both"/>
      </w:pPr>
      <w:r>
        <w:rPr>
          <w:rStyle w:val="12"/>
          <w:rFonts w:ascii="Times New Roman" w:hAnsi="Times New Roman" w:eastAsia="Arial" w:cs="Liberation Serif"/>
          <w:b/>
          <w:bCs/>
          <w:color w:val="000000"/>
          <w:highlight w:val="white"/>
          <w:lang w:eastAsia="ar-SA"/>
        </w:rPr>
        <w:t>5. OBRIGAÇÕES DA CONTRATADA:</w:t>
      </w:r>
    </w:p>
    <w:p>
      <w:pPr>
        <w:pStyle w:val="10"/>
        <w:widowControl/>
        <w:tabs>
          <w:tab w:val="left" w:pos="567"/>
        </w:tabs>
        <w:snapToGrid w:val="0"/>
        <w:spacing w:line="360" w:lineRule="auto"/>
        <w:jc w:val="both"/>
      </w:pPr>
      <w:r>
        <w:rPr>
          <w:rFonts w:ascii="Times New Roman" w:hAnsi="Times New Roman" w:cs="Liberation Serif"/>
        </w:rPr>
        <w:t>5.1 Assumir com exclusividade seus riscos e despesas decorrentes da boa e perfeita execução do objeto e, ainda:</w:t>
      </w:r>
    </w:p>
    <w:p>
      <w:pPr>
        <w:pStyle w:val="10"/>
        <w:widowControl/>
        <w:tabs>
          <w:tab w:val="left" w:pos="50"/>
          <w:tab w:val="left" w:pos="567"/>
        </w:tabs>
        <w:snapToGrid w:val="0"/>
        <w:spacing w:line="360" w:lineRule="auto"/>
        <w:jc w:val="both"/>
      </w:pPr>
      <w:r>
        <w:rPr>
          <w:rFonts w:ascii="Times New Roman" w:hAnsi="Times New Roman" w:cs="Liberation Serif"/>
        </w:rPr>
        <w:t>5.2 Efetuar a entrega do objeto em perfeitas condições, conforme especificações, prazo e local constantes neste termo e seus anexos, acompanhado da respectiva nota fiscal;</w:t>
      </w:r>
    </w:p>
    <w:p>
      <w:pPr>
        <w:pStyle w:val="10"/>
        <w:widowControl/>
        <w:numPr>
          <w:ilvl w:val="1"/>
          <w:numId w:val="9"/>
        </w:numPr>
        <w:tabs>
          <w:tab w:val="left" w:pos="567"/>
        </w:tabs>
        <w:snapToGrid w:val="0"/>
        <w:spacing w:line="360" w:lineRule="auto"/>
        <w:jc w:val="both"/>
      </w:pPr>
      <w:r>
        <w:rPr>
          <w:rFonts w:ascii="Times New Roman" w:hAnsi="Times New Roman" w:cs="Liberation Serif"/>
        </w:rPr>
        <w:t>Responsabilizar-se pelos vícios e danos decorrentes do objeto, de acordo com os artigos 12, 13 e 17 a 27, do Código de Defesa do Consumidor (Lei nº 8.078, de 1990);</w:t>
      </w:r>
    </w:p>
    <w:p>
      <w:pPr>
        <w:pStyle w:val="10"/>
        <w:widowControl/>
        <w:numPr>
          <w:ilvl w:val="1"/>
          <w:numId w:val="9"/>
        </w:numPr>
        <w:tabs>
          <w:tab w:val="left" w:pos="567"/>
        </w:tabs>
        <w:snapToGrid w:val="0"/>
        <w:spacing w:line="360" w:lineRule="auto"/>
        <w:jc w:val="both"/>
      </w:pPr>
      <w:r>
        <w:rPr>
          <w:rFonts w:ascii="Times New Roman" w:hAnsi="Times New Roman" w:cs="Liberation Serif"/>
          <w:highlight w:val="white"/>
        </w:rPr>
        <w:t>Substituir, reparar ou corrigir, às suas expensas, no prazo máximo de 3 (três) dias corridos, objeto com avarias ou defeitos;</w:t>
      </w:r>
    </w:p>
    <w:p>
      <w:pPr>
        <w:pStyle w:val="10"/>
        <w:widowControl/>
        <w:numPr>
          <w:ilvl w:val="1"/>
          <w:numId w:val="9"/>
        </w:numPr>
        <w:tabs>
          <w:tab w:val="left" w:pos="567"/>
        </w:tabs>
        <w:snapToGrid w:val="0"/>
        <w:spacing w:line="360" w:lineRule="auto"/>
        <w:ind w:left="0" w:firstLine="0"/>
        <w:jc w:val="both"/>
      </w:pPr>
      <w:r>
        <w:rPr>
          <w:rFonts w:ascii="Times New Roman" w:hAnsi="Times New Roman" w:cs="Liberation Serif"/>
        </w:rPr>
        <w:t>Comunicar à Contratante, no prazo máximo de 24 (vinte e quatro) horas que antecede a data da entrega, os motivos que impossibilitem o cumprimento do prazo previsto, com a devida comprovação;</w:t>
      </w:r>
    </w:p>
    <w:p>
      <w:pPr>
        <w:pStyle w:val="10"/>
        <w:widowControl/>
        <w:numPr>
          <w:ilvl w:val="1"/>
          <w:numId w:val="9"/>
        </w:numPr>
        <w:tabs>
          <w:tab w:val="left" w:pos="567"/>
        </w:tabs>
        <w:snapToGrid w:val="0"/>
        <w:spacing w:line="360" w:lineRule="auto"/>
        <w:ind w:left="0" w:firstLine="0"/>
        <w:jc w:val="both"/>
      </w:pPr>
      <w:r>
        <w:rPr>
          <w:rFonts w:ascii="Times New Roman" w:hAnsi="Times New Roman" w:cs="Liberation Serif"/>
        </w:rPr>
        <w:t>Manter, durante toda a execução do contrato, em compatibilidade com as obrigações estabelecidas, todas as condições de habilitação e qualificação exigidas neste;</w:t>
      </w:r>
    </w:p>
    <w:p>
      <w:pPr>
        <w:pStyle w:val="10"/>
        <w:widowControl/>
        <w:numPr>
          <w:ilvl w:val="1"/>
          <w:numId w:val="9"/>
        </w:numPr>
        <w:tabs>
          <w:tab w:val="left" w:pos="567"/>
        </w:tabs>
        <w:snapToGrid w:val="0"/>
        <w:spacing w:line="360" w:lineRule="auto"/>
        <w:ind w:left="0" w:firstLine="0"/>
        <w:jc w:val="both"/>
      </w:pPr>
      <w:r>
        <w:rPr>
          <w:rFonts w:ascii="Times New Roman" w:hAnsi="Times New Roman" w:cs="Liberation Serif"/>
        </w:rPr>
        <w:t xml:space="preserve"> </w:t>
      </w:r>
      <w:r>
        <w:rPr>
          <w:rStyle w:val="12"/>
          <w:rFonts w:ascii="Times New Roman" w:hAnsi="Times New Roman" w:eastAsia="Arial" w:cs="Liberation Serif"/>
          <w:color w:val="000000"/>
          <w:highlight w:val="white"/>
          <w:lang w:eastAsia="ar-SA"/>
        </w:rPr>
        <w:t>Indicar preposto para representá-la durante a execução do contrato.</w:t>
      </w:r>
    </w:p>
    <w:p>
      <w:pPr>
        <w:pStyle w:val="10"/>
        <w:widowControl/>
        <w:numPr>
          <w:ilvl w:val="0"/>
          <w:numId w:val="10"/>
        </w:numPr>
        <w:tabs>
          <w:tab w:val="left" w:pos="283"/>
        </w:tabs>
        <w:suppressAutoHyphens w:val="0"/>
        <w:snapToGrid w:val="0"/>
        <w:spacing w:before="120" w:after="120" w:line="360" w:lineRule="auto"/>
        <w:jc w:val="both"/>
      </w:pPr>
      <w:r>
        <w:rPr>
          <w:rFonts w:ascii="Times New Roman" w:hAnsi="Times New Roman" w:cs="Tahoma"/>
          <w:b/>
          <w:bCs/>
        </w:rPr>
        <w:t xml:space="preserve">OBRIGAÇÕES DA CONTRATANTE: </w:t>
      </w:r>
    </w:p>
    <w:p>
      <w:pPr>
        <w:pStyle w:val="10"/>
        <w:widowControl/>
        <w:numPr>
          <w:ilvl w:val="1"/>
          <w:numId w:val="10"/>
        </w:numPr>
        <w:tabs>
          <w:tab w:val="left" w:pos="567"/>
        </w:tabs>
        <w:snapToGrid w:val="0"/>
        <w:spacing w:line="360" w:lineRule="auto"/>
        <w:ind w:left="0" w:firstLine="0"/>
        <w:jc w:val="both"/>
      </w:pPr>
      <w:r>
        <w:rPr>
          <w:rFonts w:ascii="Times New Roman" w:hAnsi="Times New Roman" w:cs="Liberation Serif"/>
          <w:bCs/>
        </w:rPr>
        <w:t>Receber o objeto no prazo e condições estabelecidas;</w:t>
      </w:r>
    </w:p>
    <w:p>
      <w:pPr>
        <w:pStyle w:val="10"/>
        <w:widowControl/>
        <w:numPr>
          <w:ilvl w:val="1"/>
          <w:numId w:val="10"/>
        </w:numPr>
        <w:tabs>
          <w:tab w:val="left" w:pos="567"/>
        </w:tabs>
        <w:snapToGrid w:val="0"/>
        <w:spacing w:line="360" w:lineRule="auto"/>
        <w:ind w:left="0" w:firstLine="0"/>
        <w:jc w:val="both"/>
      </w:pPr>
      <w:r>
        <w:rPr>
          <w:rFonts w:ascii="Times New Roman" w:hAnsi="Times New Roman" w:cs="Liberation Serif"/>
          <w:bCs/>
          <w:lang w:eastAsia="en-US"/>
        </w:rPr>
        <w:t>Verificar minuciosamente, no prazo fixado, a conformidade dos bens recebidos provisoriamente com as especificações constantes da requisição e do orçamento, para fins de aceitação e recebimento definitivo;</w:t>
      </w:r>
    </w:p>
    <w:p>
      <w:pPr>
        <w:pStyle w:val="10"/>
        <w:widowControl/>
        <w:numPr>
          <w:ilvl w:val="1"/>
          <w:numId w:val="10"/>
        </w:numPr>
        <w:tabs>
          <w:tab w:val="left" w:pos="567"/>
        </w:tabs>
        <w:snapToGrid w:val="0"/>
        <w:spacing w:line="360" w:lineRule="auto"/>
        <w:ind w:left="0" w:firstLine="0"/>
        <w:jc w:val="both"/>
      </w:pPr>
      <w:r>
        <w:rPr>
          <w:rFonts w:ascii="Times New Roman" w:hAnsi="Times New Roman" w:cs="Liberation Serif"/>
          <w:bCs/>
          <w:lang w:eastAsia="en-US"/>
        </w:rPr>
        <w:t>Comunicar à Contratada, por escrito, sobre imperfeições, falhas ou irregularidades verificadas no objeto fornecido, para que seja substituído, reparado ou corrigido;</w:t>
      </w:r>
    </w:p>
    <w:p>
      <w:pPr>
        <w:pStyle w:val="10"/>
        <w:widowControl/>
        <w:numPr>
          <w:ilvl w:val="1"/>
          <w:numId w:val="10"/>
        </w:numPr>
        <w:tabs>
          <w:tab w:val="left" w:pos="567"/>
        </w:tabs>
        <w:snapToGrid w:val="0"/>
        <w:spacing w:line="360" w:lineRule="auto"/>
        <w:ind w:left="0" w:firstLine="0"/>
        <w:jc w:val="both"/>
      </w:pPr>
      <w:r>
        <w:rPr>
          <w:rFonts w:ascii="Times New Roman" w:hAnsi="Times New Roman" w:cs="Liberation Serif"/>
          <w:bCs/>
          <w:lang w:eastAsia="en-US"/>
        </w:rPr>
        <w:t>Acompanhar e fiscalizar o cumprimento das obrigações da Contratada, através de comissão/servidor especialmente designado;</w:t>
      </w:r>
    </w:p>
    <w:p>
      <w:pPr>
        <w:pStyle w:val="10"/>
        <w:widowControl/>
        <w:numPr>
          <w:ilvl w:val="1"/>
          <w:numId w:val="10"/>
        </w:numPr>
        <w:tabs>
          <w:tab w:val="left" w:pos="567"/>
        </w:tabs>
        <w:snapToGrid w:val="0"/>
        <w:spacing w:line="360" w:lineRule="auto"/>
        <w:ind w:left="0" w:firstLine="0"/>
        <w:jc w:val="both"/>
      </w:pPr>
      <w:r>
        <w:rPr>
          <w:rStyle w:val="12"/>
          <w:rFonts w:ascii="Times New Roman" w:hAnsi="Times New Roman" w:cs="Liberation Serif"/>
          <w:bCs/>
          <w:lang w:eastAsia="en-US"/>
        </w:rPr>
        <w:t>Efetuar o pagamento à Contratada</w:t>
      </w:r>
      <w:r>
        <w:rPr>
          <w:rStyle w:val="12"/>
          <w:rFonts w:ascii="Times New Roman" w:hAnsi="Times New Roman" w:cs="Liberation Serif"/>
          <w:b/>
          <w:bCs/>
          <w:lang w:eastAsia="en-US"/>
        </w:rPr>
        <w:t xml:space="preserve"> </w:t>
      </w:r>
      <w:r>
        <w:rPr>
          <w:rStyle w:val="12"/>
          <w:rFonts w:ascii="Times New Roman" w:hAnsi="Times New Roman" w:cs="Liberation Serif"/>
          <w:bCs/>
          <w:lang w:eastAsia="en-US"/>
        </w:rPr>
        <w:t>no valor correspondente ao fornecimento do objeto, no prazo e forma estabelecidos;</w:t>
      </w:r>
    </w:p>
    <w:p>
      <w:pPr>
        <w:pStyle w:val="10"/>
        <w:widowControl/>
        <w:numPr>
          <w:ilvl w:val="1"/>
          <w:numId w:val="10"/>
        </w:numPr>
        <w:tabs>
          <w:tab w:val="left" w:pos="567"/>
        </w:tabs>
        <w:snapToGrid w:val="0"/>
        <w:spacing w:line="360" w:lineRule="auto"/>
        <w:ind w:left="0" w:firstLine="0"/>
        <w:jc w:val="both"/>
      </w:pPr>
      <w:r>
        <w:rPr>
          <w:rStyle w:val="12"/>
          <w:rFonts w:ascii="Times New Roman" w:hAnsi="Times New Roman" w:cs="Liberation Serif"/>
          <w:lang w:eastAsia="en-US"/>
        </w:rPr>
        <w:t xml:space="preserve">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10"/>
        <w:widowControl/>
        <w:numPr>
          <w:ilvl w:val="0"/>
          <w:numId w:val="10"/>
        </w:numPr>
        <w:tabs>
          <w:tab w:val="left" w:pos="283"/>
        </w:tabs>
        <w:suppressAutoHyphens w:val="0"/>
        <w:snapToGrid w:val="0"/>
        <w:spacing w:before="120" w:after="120" w:line="360" w:lineRule="auto"/>
        <w:ind w:left="0" w:firstLine="0"/>
        <w:jc w:val="both"/>
      </w:pPr>
      <w:r>
        <w:rPr>
          <w:rFonts w:ascii="Times New Roman" w:hAnsi="Times New Roman" w:cs="Liberation Serif"/>
          <w:b/>
          <w:bCs/>
        </w:rPr>
        <w:t>RESPONSÁVEL PELO PLANEJAMENTO DA CONTRATAÇÃO E FISCALIZAÇÃO DAS CONDIÇÕES DE ENTREGA: Cap Júlio César</w:t>
      </w:r>
      <w:r>
        <w:rPr>
          <w:rFonts w:ascii="Times New Roman" w:hAnsi="Times New Roman" w:cs="Liberation Serif"/>
        </w:rPr>
        <w:t xml:space="preserve"> </w:t>
      </w:r>
    </w:p>
    <w:p>
      <w:pPr>
        <w:tabs>
          <w:tab w:val="left" w:pos="1508"/>
        </w:tabs>
        <w:spacing w:line="360" w:lineRule="auto"/>
        <w:jc w:val="both"/>
      </w:pPr>
      <w:r>
        <w:rPr>
          <w:rFonts w:ascii="Times New Roman" w:hAnsi="Times New Roman"/>
          <w:b/>
          <w:bCs/>
          <w:color w:val="000000"/>
          <w:szCs w:val="21"/>
        </w:rPr>
        <w:t xml:space="preserve">8. </w:t>
      </w:r>
      <w:r>
        <w:rPr>
          <w:rFonts w:ascii="Times New Roman" w:hAnsi="Times New Roman"/>
          <w:b/>
          <w:bCs/>
          <w:color w:val="000000"/>
        </w:rPr>
        <w:t>DO PAGAMENTO</w:t>
      </w:r>
    </w:p>
    <w:p>
      <w:pPr>
        <w:tabs>
          <w:tab w:val="left" w:pos="1508"/>
        </w:tabs>
        <w:snapToGrid w:val="0"/>
        <w:spacing w:before="120" w:after="120" w:line="360" w:lineRule="auto"/>
        <w:jc w:val="both"/>
        <w:textAlignment w:val="baseline"/>
      </w:pPr>
      <w:r>
        <w:rPr>
          <w:rStyle w:val="12"/>
          <w:rFonts w:ascii="Times New Roman" w:hAnsi="Times New Roman" w:cs="Liberation Serif"/>
          <w:color w:val="000000"/>
          <w:sz w:val="21"/>
          <w:szCs w:val="21"/>
          <w:lang w:eastAsia="en-US"/>
        </w:rPr>
        <w:t xml:space="preserve"> 8</w:t>
      </w:r>
      <w:r>
        <w:rPr>
          <w:rStyle w:val="12"/>
          <w:rFonts w:ascii="Times New Roman" w:hAnsi="Times New Roman" w:cs="Liberation Serif"/>
          <w:color w:val="000000"/>
          <w:lang w:eastAsia="en-US"/>
        </w:rPr>
        <w:t xml:space="preserve">.1. </w:t>
      </w:r>
      <w:r>
        <w:rPr>
          <w:rStyle w:val="12"/>
          <w:rFonts w:ascii="Times New Roman" w:hAnsi="Times New Roman" w:cs="Liberation Serif"/>
          <w:color w:val="000000"/>
          <w:sz w:val="21"/>
          <w:szCs w:val="21"/>
          <w:lang w:eastAsia="en-US"/>
        </w:rPr>
        <w:t>O pagamento será realizado no prazo máximo de até 30 (trinta) dias, contados a partir do recebimento da Nota Fiscal ou Fatura, através de ordem bancária, para crédito em banco, agência e conta correntes indicadas pelo contratado.</w:t>
      </w:r>
    </w:p>
    <w:p>
      <w:pPr>
        <w:tabs>
          <w:tab w:val="left" w:pos="1508"/>
        </w:tabs>
        <w:spacing w:line="360" w:lineRule="auto"/>
        <w:jc w:val="both"/>
      </w:pPr>
      <w:r>
        <w:rPr>
          <w:rFonts w:ascii="Times New Roman" w:hAnsi="Times New Roman"/>
          <w:b/>
          <w:bCs/>
          <w:color w:val="000000"/>
          <w:szCs w:val="21"/>
        </w:rPr>
        <w:t xml:space="preserve">9. </w:t>
      </w:r>
      <w:r>
        <w:rPr>
          <w:rFonts w:ascii="Times New Roman" w:hAnsi="Times New Roman"/>
          <w:b/>
          <w:bCs/>
          <w:color w:val="000000"/>
        </w:rPr>
        <w:t>DO CONTRATO</w:t>
      </w:r>
    </w:p>
    <w:p>
      <w:pPr>
        <w:tabs>
          <w:tab w:val="left" w:pos="1508"/>
        </w:tabs>
        <w:snapToGrid w:val="0"/>
        <w:spacing w:before="120" w:after="120" w:line="360" w:lineRule="auto"/>
        <w:jc w:val="both"/>
        <w:textAlignment w:val="baseline"/>
      </w:pPr>
      <w:r>
        <w:rPr>
          <w:rStyle w:val="12"/>
          <w:rFonts w:ascii="Times New Roman" w:hAnsi="Times New Roman" w:cs="Liberation Serif"/>
          <w:color w:val="000000"/>
          <w:sz w:val="21"/>
          <w:szCs w:val="21"/>
          <w:lang w:eastAsia="en-US"/>
        </w:rPr>
        <w:t xml:space="preserve"> 9</w:t>
      </w:r>
      <w:r>
        <w:rPr>
          <w:rStyle w:val="12"/>
          <w:rFonts w:ascii="Times New Roman" w:hAnsi="Times New Roman" w:cs="Liberation Serif"/>
          <w:color w:val="000000"/>
          <w:lang w:eastAsia="en-US"/>
        </w:rPr>
        <w:t xml:space="preserve">.1. </w:t>
      </w:r>
      <w:r>
        <w:rPr>
          <w:rStyle w:val="12"/>
          <w:rFonts w:ascii="Times New Roman" w:hAnsi="Times New Roman" w:cs="Liberation Serif"/>
          <w:color w:val="000000"/>
          <w:sz w:val="21"/>
          <w:szCs w:val="21"/>
          <w:lang w:eastAsia="en-US"/>
        </w:rPr>
        <w:t>Para fins dessa contratação, a Nota de Empenho consubstanciará o vínculo contratual.</w:t>
      </w:r>
    </w:p>
    <w:p>
      <w:pPr>
        <w:tabs>
          <w:tab w:val="left" w:pos="1508"/>
        </w:tabs>
        <w:snapToGrid w:val="0"/>
        <w:spacing w:before="120" w:after="120" w:line="360" w:lineRule="auto"/>
        <w:jc w:val="both"/>
        <w:textAlignment w:val="baseline"/>
      </w:pPr>
      <w:r>
        <w:rPr>
          <w:rStyle w:val="12"/>
          <w:rFonts w:ascii="Times New Roman" w:hAnsi="Times New Roman" w:cs="Liberation Serif"/>
          <w:b/>
          <w:bCs/>
          <w:color w:val="000000"/>
          <w:sz w:val="21"/>
          <w:szCs w:val="21"/>
          <w:lang w:eastAsia="en-US"/>
        </w:rPr>
        <w:t>10. COMPROVAÇÃO DE SUPORTE ORÇAMENTÁRIO</w:t>
      </w:r>
    </w:p>
    <w:p>
      <w:pPr>
        <w:tabs>
          <w:tab w:val="left" w:pos="788"/>
        </w:tabs>
        <w:snapToGrid w:val="0"/>
        <w:spacing w:before="120" w:after="120" w:line="360" w:lineRule="auto"/>
        <w:jc w:val="both"/>
        <w:textAlignment w:val="baseline"/>
        <w:rPr>
          <w:rStyle w:val="12"/>
          <w:rFonts w:ascii="Times New Roman" w:hAnsi="Times New Roman" w:cs="Liberation Serif"/>
          <w:color w:val="000000"/>
          <w:sz w:val="21"/>
          <w:szCs w:val="21"/>
          <w:lang w:eastAsia="en-US"/>
        </w:rPr>
      </w:pPr>
      <w:r>
        <w:rPr>
          <w:rStyle w:val="12"/>
          <w:rFonts w:ascii="Times New Roman" w:hAnsi="Times New Roman" w:cs="Liberation Serif"/>
          <w:color w:val="000000"/>
          <w:sz w:val="21"/>
          <w:szCs w:val="21"/>
          <w:lang w:eastAsia="en-US"/>
        </w:rPr>
        <w:t>10. 1. A provisão orçamentária a suportar a presente aquisição é a seguinte:</w:t>
      </w:r>
    </w:p>
    <w:p>
      <w:pPr>
        <w:tabs>
          <w:tab w:val="left" w:pos="788"/>
        </w:tabs>
        <w:snapToGrid w:val="0"/>
        <w:spacing w:before="120" w:after="120" w:line="360" w:lineRule="auto"/>
        <w:jc w:val="both"/>
        <w:textAlignment w:val="baseline"/>
      </w:pPr>
    </w:p>
    <w:tbl>
      <w:tblPr>
        <w:tblStyle w:val="3"/>
        <w:tblW w:w="9797" w:type="dxa"/>
        <w:tblInd w:w="-11" w:type="dxa"/>
        <w:tblLayout w:type="fixed"/>
        <w:tblCellMar>
          <w:top w:w="0" w:type="dxa"/>
          <w:left w:w="5" w:type="dxa"/>
          <w:bottom w:w="0" w:type="dxa"/>
          <w:right w:w="93" w:type="dxa"/>
        </w:tblCellMar>
      </w:tblPr>
      <w:tblGrid>
        <w:gridCol w:w="1528"/>
        <w:gridCol w:w="1182"/>
        <w:gridCol w:w="1275"/>
        <w:gridCol w:w="1985"/>
        <w:gridCol w:w="736"/>
        <w:gridCol w:w="1062"/>
        <w:gridCol w:w="2029"/>
      </w:tblGrid>
      <w:tr>
        <w:tblPrEx>
          <w:tblCellMar>
            <w:top w:w="0" w:type="dxa"/>
            <w:left w:w="5" w:type="dxa"/>
            <w:bottom w:w="0" w:type="dxa"/>
            <w:right w:w="93" w:type="dxa"/>
          </w:tblCellMar>
        </w:tblPrEx>
        <w:trPr>
          <w:trHeight w:val="245" w:hRule="atLeast"/>
        </w:trPr>
        <w:tc>
          <w:tcPr>
            <w:tcW w:w="1528"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UG Favorecida</w:t>
            </w:r>
          </w:p>
        </w:tc>
        <w:tc>
          <w:tcPr>
            <w:tcW w:w="118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NC</w:t>
            </w:r>
          </w:p>
        </w:tc>
        <w:tc>
          <w:tcPr>
            <w:tcW w:w="127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PTRes</w:t>
            </w:r>
          </w:p>
        </w:tc>
        <w:tc>
          <w:tcPr>
            <w:tcW w:w="198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PI</w:t>
            </w:r>
          </w:p>
        </w:tc>
        <w:tc>
          <w:tcPr>
            <w:tcW w:w="736"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ND</w:t>
            </w:r>
          </w:p>
        </w:tc>
        <w:tc>
          <w:tcPr>
            <w:tcW w:w="106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UGR</w:t>
            </w:r>
          </w:p>
        </w:tc>
        <w:tc>
          <w:tcPr>
            <w:tcW w:w="2029"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b/>
                <w:bCs/>
                <w:color w:val="00000A"/>
              </w:rPr>
              <w:t>Fonte Pagadora</w:t>
            </w:r>
          </w:p>
        </w:tc>
      </w:tr>
      <w:tr>
        <w:tblPrEx>
          <w:tblCellMar>
            <w:top w:w="0" w:type="dxa"/>
            <w:left w:w="5" w:type="dxa"/>
            <w:bottom w:w="0" w:type="dxa"/>
            <w:right w:w="93" w:type="dxa"/>
          </w:tblCellMar>
        </w:tblPrEx>
        <w:trPr>
          <w:trHeight w:val="430" w:hRule="atLeast"/>
        </w:trPr>
        <w:tc>
          <w:tcPr>
            <w:tcW w:w="1528"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t>16</w:t>
            </w:r>
            <w:r>
              <w:rPr>
                <w:rFonts w:hint="default"/>
                <w:lang w:val="pt-BR"/>
              </w:rPr>
              <w:t>7</w:t>
            </w:r>
            <w:r>
              <w:t>118</w:t>
            </w:r>
          </w:p>
        </w:tc>
        <w:tc>
          <w:tcPr>
            <w:tcW w:w="118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widowControl w:val="0"/>
              <w:jc w:val="center"/>
              <w:textAlignment w:val="baseline"/>
            </w:pPr>
            <w:r>
              <w:t>4</w:t>
            </w:r>
            <w:r>
              <w:rPr>
                <w:rFonts w:hint="default"/>
                <w:lang w:val="pt-BR"/>
              </w:rPr>
              <w:t>15</w:t>
            </w:r>
            <w:r>
              <w:t>2</w:t>
            </w:r>
            <w:r>
              <w:rPr>
                <w:rFonts w:hint="default"/>
                <w:lang w:val="pt-BR"/>
              </w:rPr>
              <w:t>5</w:t>
            </w:r>
            <w:r>
              <w:t>0</w:t>
            </w:r>
          </w:p>
        </w:tc>
        <w:tc>
          <w:tcPr>
            <w:tcW w:w="127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rPr>
                <w:rFonts w:hint="default"/>
                <w:lang w:val="pt-BR"/>
              </w:rPr>
              <w:t>215842</w:t>
            </w:r>
          </w:p>
        </w:tc>
        <w:tc>
          <w:tcPr>
            <w:tcW w:w="1985"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t>D8SAF</w:t>
            </w:r>
            <w:r>
              <w:rPr>
                <w:rFonts w:hint="default"/>
                <w:lang w:val="pt-BR"/>
              </w:rPr>
              <w:t>CT</w:t>
            </w:r>
            <w:r>
              <w:t>UGPD</w:t>
            </w:r>
          </w:p>
        </w:tc>
        <w:tc>
          <w:tcPr>
            <w:tcW w:w="736"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t>30</w:t>
            </w:r>
          </w:p>
        </w:tc>
        <w:tc>
          <w:tcPr>
            <w:tcW w:w="1062"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pPr>
            <w:r>
              <w:t>167505</w:t>
            </w:r>
          </w:p>
        </w:tc>
        <w:tc>
          <w:tcPr>
            <w:tcW w:w="2029" w:type="dxa"/>
            <w:tcBorders>
              <w:top w:val="single" w:color="00000A" w:sz="4" w:space="0"/>
              <w:left w:val="single" w:color="00000A" w:sz="4" w:space="0"/>
              <w:bottom w:val="single" w:color="00000A" w:sz="4" w:space="0"/>
              <w:right w:val="single" w:color="00000A" w:sz="4" w:space="0"/>
            </w:tcBorders>
            <w:shd w:val="clear" w:color="auto" w:fill="FFFFFF"/>
            <w:noWrap w:val="0"/>
            <w:vAlign w:val="center"/>
          </w:tcPr>
          <w:p>
            <w:pPr>
              <w:pStyle w:val="14"/>
              <w:jc w:val="center"/>
              <w:rPr>
                <w:rFonts w:hint="default"/>
                <w:lang w:val="pt-BR"/>
              </w:rPr>
            </w:pPr>
            <w:r>
              <w:rPr>
                <w:rFonts w:hint="default"/>
                <w:lang w:val="pt-BR"/>
              </w:rPr>
              <w:t>1050000142</w:t>
            </w:r>
          </w:p>
        </w:tc>
      </w:tr>
    </w:tbl>
    <w:p>
      <w:pPr>
        <w:tabs>
          <w:tab w:val="left" w:pos="426"/>
          <w:tab w:val="left" w:pos="851"/>
        </w:tabs>
        <w:spacing w:line="360" w:lineRule="auto"/>
        <w:jc w:val="center"/>
        <w:rPr>
          <w:rFonts w:ascii="Times New Roman" w:hAnsi="Times New Roman"/>
        </w:rPr>
      </w:pPr>
    </w:p>
    <w:p>
      <w:pPr>
        <w:tabs>
          <w:tab w:val="left" w:pos="426"/>
          <w:tab w:val="left" w:pos="851"/>
        </w:tabs>
        <w:spacing w:line="360" w:lineRule="auto"/>
        <w:jc w:val="center"/>
      </w:pPr>
      <w:r>
        <w:rPr>
          <w:rFonts w:ascii="Times New Roman" w:hAnsi="Times New Roman"/>
        </w:rPr>
        <w:t xml:space="preserve">Belo Horizonte -MG, </w:t>
      </w:r>
      <w:r>
        <w:rPr>
          <w:rFonts w:hint="default" w:ascii="Times New Roman" w:hAnsi="Times New Roman"/>
          <w:lang w:val="pt-BR"/>
        </w:rPr>
        <w:t xml:space="preserve">          </w:t>
      </w:r>
      <w:r>
        <w:rPr>
          <w:rFonts w:ascii="Times New Roman" w:hAnsi="Times New Roman"/>
        </w:rPr>
        <w:t xml:space="preserve">de </w:t>
      </w:r>
      <w:r>
        <w:rPr>
          <w:rFonts w:hint="default" w:ascii="Times New Roman" w:hAnsi="Times New Roman"/>
          <w:lang w:val="pt-BR"/>
        </w:rPr>
        <w:t>julho</w:t>
      </w:r>
      <w:r>
        <w:rPr>
          <w:rFonts w:ascii="Times New Roman" w:hAnsi="Times New Roman"/>
        </w:rPr>
        <w:t xml:space="preserve"> de 202</w:t>
      </w:r>
      <w:r>
        <w:rPr>
          <w:rFonts w:hint="default" w:ascii="Times New Roman" w:hAnsi="Times New Roman"/>
          <w:lang w:val="pt-BR"/>
        </w:rPr>
        <w:t>3</w:t>
      </w:r>
      <w:r>
        <w:rPr>
          <w:rFonts w:ascii="Times New Roman" w:hAnsi="Times New Roman"/>
        </w:rPr>
        <w:t>.</w:t>
      </w:r>
    </w:p>
    <w:p>
      <w:pPr>
        <w:jc w:val="center"/>
        <w:rPr>
          <w:rFonts w:ascii="Times New Roman" w:hAnsi="Times New Roman"/>
        </w:rPr>
      </w:pPr>
    </w:p>
    <w:p>
      <w:pPr>
        <w:jc w:val="center"/>
      </w:pPr>
      <w:r>
        <w:rPr>
          <w:rFonts w:ascii="Times New Roman" w:hAnsi="Times New Roman"/>
        </w:rPr>
        <w:t>_____________________________________________</w:t>
      </w:r>
    </w:p>
    <w:p>
      <w:pPr>
        <w:jc w:val="center"/>
      </w:pPr>
      <w:r>
        <w:rPr>
          <w:rFonts w:ascii="Times New Roman" w:hAnsi="Times New Roman" w:cs="Times New Roman"/>
          <w:b/>
          <w:bCs/>
          <w:color w:val="000000"/>
        </w:rPr>
        <w:t>FABIANA MARIA ANDRADE GOMES – Cap</w:t>
      </w:r>
    </w:p>
    <w:p>
      <w:pPr>
        <w:keepNext/>
        <w:tabs>
          <w:tab w:val="left" w:pos="1830"/>
        </w:tabs>
        <w:ind w:firstLine="5"/>
        <w:jc w:val="center"/>
      </w:pPr>
      <w:r>
        <w:rPr>
          <w:rFonts w:ascii="Times New Roman" w:hAnsi="Times New Roman" w:cs="Liberation Serif"/>
          <w:color w:val="000000"/>
          <w:lang w:eastAsia="pt-BR"/>
        </w:rPr>
        <w:t>Enc Set Mat P Med Gu BH</w:t>
      </w:r>
    </w:p>
    <w:p>
      <w:pPr>
        <w:tabs>
          <w:tab w:val="left" w:pos="1830"/>
        </w:tabs>
        <w:ind w:firstLine="5"/>
        <w:jc w:val="center"/>
        <w:rPr>
          <w:rFonts w:ascii="Times New Roman" w:hAnsi="Times New Roman"/>
        </w:rPr>
      </w:pPr>
    </w:p>
    <w:p>
      <w:pPr>
        <w:pStyle w:val="15"/>
        <w:ind w:left="0" w:hanging="23"/>
      </w:pPr>
      <w:r>
        <w:rPr>
          <w:rFonts w:ascii="Times New Roman" w:hAnsi="Times New Roman"/>
          <w:b/>
        </w:rPr>
        <w:t>VISTO DO FISCAL ADMINISTRATIVO:</w:t>
      </w:r>
    </w:p>
    <w:p>
      <w:pPr>
        <w:pStyle w:val="8"/>
        <w:tabs>
          <w:tab w:val="left" w:pos="2705"/>
          <w:tab w:val="left" w:pos="3272"/>
        </w:tabs>
        <w:ind w:left="1854"/>
        <w:rPr>
          <w:rFonts w:ascii="Times New Roman" w:hAnsi="Times New Roman"/>
          <w:sz w:val="24"/>
        </w:rPr>
      </w:pPr>
    </w:p>
    <w:p>
      <w:pPr>
        <w:pStyle w:val="8"/>
        <w:tabs>
          <w:tab w:val="left" w:pos="851"/>
          <w:tab w:val="left" w:pos="1418"/>
        </w:tabs>
        <w:ind w:left="426"/>
      </w:pPr>
      <w:r>
        <w:rPr>
          <w:rFonts w:ascii="Times New Roman" w:hAnsi="Times New Roman"/>
          <w:sz w:val="24"/>
        </w:rPr>
        <w:t>Submeto a presente requisição para apreciação do Ordenador de Despesas.</w:t>
      </w:r>
    </w:p>
    <w:p>
      <w:pPr>
        <w:pStyle w:val="8"/>
        <w:tabs>
          <w:tab w:val="left" w:pos="2705"/>
          <w:tab w:val="left" w:pos="3272"/>
        </w:tabs>
        <w:ind w:left="1854"/>
        <w:rPr>
          <w:rFonts w:ascii="Times New Roman" w:hAnsi="Times New Roman"/>
          <w:sz w:val="24"/>
        </w:rPr>
      </w:pPr>
    </w:p>
    <w:p>
      <w:pPr>
        <w:tabs>
          <w:tab w:val="left" w:pos="426"/>
          <w:tab w:val="left" w:pos="851"/>
        </w:tabs>
        <w:spacing w:line="360" w:lineRule="auto"/>
        <w:jc w:val="center"/>
      </w:pPr>
      <w:r>
        <w:rPr>
          <w:rFonts w:ascii="Times New Roman" w:hAnsi="Times New Roman"/>
        </w:rPr>
        <w:t xml:space="preserve">Belo Horizonte -MG, </w:t>
      </w:r>
      <w:r>
        <w:rPr>
          <w:rFonts w:hint="default" w:ascii="Times New Roman" w:hAnsi="Times New Roman"/>
          <w:lang w:val="pt-BR"/>
        </w:rPr>
        <w:t xml:space="preserve">        </w:t>
      </w:r>
      <w:r>
        <w:rPr>
          <w:rFonts w:ascii="Times New Roman" w:hAnsi="Times New Roman"/>
        </w:rPr>
        <w:t xml:space="preserve"> de </w:t>
      </w:r>
      <w:r>
        <w:rPr>
          <w:rFonts w:hint="default" w:ascii="Times New Roman" w:hAnsi="Times New Roman"/>
          <w:lang w:val="pt-BR"/>
        </w:rPr>
        <w:t>julho</w:t>
      </w:r>
      <w:r>
        <w:rPr>
          <w:rFonts w:ascii="Times New Roman" w:hAnsi="Times New Roman"/>
        </w:rPr>
        <w:t xml:space="preserve"> de 202</w:t>
      </w:r>
      <w:r>
        <w:rPr>
          <w:rFonts w:hint="default" w:ascii="Times New Roman" w:hAnsi="Times New Roman"/>
          <w:lang w:val="pt-BR"/>
        </w:rPr>
        <w:t>3</w:t>
      </w:r>
      <w:r>
        <w:rPr>
          <w:rFonts w:ascii="Times New Roman" w:hAnsi="Times New Roman"/>
        </w:rPr>
        <w:t>.</w:t>
      </w:r>
    </w:p>
    <w:p>
      <w:pPr>
        <w:tabs>
          <w:tab w:val="left" w:pos="426"/>
          <w:tab w:val="left" w:pos="851"/>
        </w:tabs>
        <w:spacing w:line="360" w:lineRule="auto"/>
        <w:jc w:val="center"/>
        <w:rPr>
          <w:rFonts w:ascii="Times New Roman" w:hAnsi="Times New Roman" w:cs="Liberation Serif"/>
          <w:iCs/>
          <w:color w:val="000000"/>
        </w:rPr>
      </w:pPr>
    </w:p>
    <w:p>
      <w:pPr>
        <w:tabs>
          <w:tab w:val="left" w:pos="426"/>
          <w:tab w:val="left" w:pos="851"/>
        </w:tabs>
        <w:spacing w:line="360" w:lineRule="auto"/>
        <w:jc w:val="center"/>
        <w:rPr>
          <w:rFonts w:ascii="Times New Roman" w:hAnsi="Times New Roman" w:cs="Liberation Serif"/>
          <w:iCs/>
          <w:color w:val="000000"/>
        </w:rPr>
      </w:pPr>
    </w:p>
    <w:p>
      <w:pPr>
        <w:tabs>
          <w:tab w:val="left" w:pos="2705"/>
          <w:tab w:val="left" w:pos="3272"/>
        </w:tabs>
        <w:ind w:left="1854"/>
      </w:pPr>
      <w:r>
        <w:rPr>
          <w:rFonts w:ascii="Times New Roman" w:hAnsi="Times New Roman"/>
        </w:rPr>
        <w:t xml:space="preserve">           ___________</w:t>
      </w:r>
      <w:r>
        <w:rPr>
          <w:rFonts w:hint="default" w:ascii="Times New Roman" w:hAnsi="Times New Roman"/>
          <w:lang w:val="pt-BR"/>
        </w:rPr>
        <w:t>____</w:t>
      </w:r>
      <w:r>
        <w:rPr>
          <w:rFonts w:ascii="Times New Roman" w:hAnsi="Times New Roman"/>
        </w:rPr>
        <w:t>__________________________</w:t>
      </w:r>
    </w:p>
    <w:p>
      <w:pPr>
        <w:contextualSpacing/>
        <w:jc w:val="center"/>
      </w:pPr>
      <w:r>
        <w:rPr>
          <w:rFonts w:hint="default" w:ascii="Times New Roman" w:hAnsi="Times New Roman" w:cs="Times New Roman"/>
          <w:b/>
          <w:bCs/>
          <w:sz w:val="24"/>
          <w:szCs w:val="24"/>
          <w:lang w:val="pt-BR"/>
        </w:rPr>
        <w:t xml:space="preserve">       </w:t>
      </w:r>
      <w:r>
        <w:rPr>
          <w:rFonts w:hint="default" w:ascii="Times New Roman" w:hAnsi="Times New Roman" w:cs="Times New Roman"/>
          <w:b/>
          <w:bCs/>
          <w:sz w:val="24"/>
          <w:szCs w:val="24"/>
          <w:lang w:val="pt-BR"/>
        </w:rPr>
        <w:t>FLÁVIO HENRIQUE SOBREIRA</w:t>
      </w:r>
      <w:r>
        <w:rPr>
          <w:rFonts w:hint="default" w:ascii="Times New Roman" w:hAnsi="Times New Roman" w:eastAsia="WenQuanYi Micro Hei" w:cs="Times New Roman"/>
          <w:b/>
          <w:bCs/>
          <w:color w:val="00000A"/>
          <w:sz w:val="24"/>
          <w:szCs w:val="24"/>
        </w:rPr>
        <w:t xml:space="preserve"> - TC</w:t>
      </w:r>
    </w:p>
    <w:p>
      <w:pPr>
        <w:tabs>
          <w:tab w:val="left" w:pos="851"/>
          <w:tab w:val="left" w:pos="1418"/>
        </w:tabs>
        <w:contextualSpacing/>
        <w:jc w:val="center"/>
        <w:textAlignment w:val="baseline"/>
      </w:pPr>
      <w:r>
        <w:rPr>
          <w:rFonts w:ascii="Times New Roman" w:hAnsi="Times New Roman" w:eastAsia="Times New Roman" w:cs="Liberation Serif"/>
          <w:color w:val="00000A"/>
          <w:highlight w:val="white"/>
          <w:lang w:val="es-ES"/>
        </w:rPr>
        <w:t>Ch Seç Adm Sau Cmdo 4ª RM</w:t>
      </w:r>
    </w:p>
    <w:p>
      <w:pPr>
        <w:overflowPunct w:val="0"/>
        <w:contextualSpacing/>
        <w:jc w:val="center"/>
        <w:textAlignment w:val="baseline"/>
        <w:rPr>
          <w:rFonts w:ascii="Times New Roman" w:hAnsi="Times New Roman" w:cs="Liberation Serif"/>
        </w:rPr>
      </w:pPr>
    </w:p>
    <w:p>
      <w:pPr>
        <w:spacing w:before="120" w:after="120"/>
        <w:jc w:val="both"/>
      </w:pPr>
      <w:r>
        <w:rPr>
          <w:rFonts w:ascii="Times New Roman" w:hAnsi="Times New Roman"/>
          <w:b/>
        </w:rPr>
        <w:t>DESPACHO DO ORDENADOR DE DESPESAS:</w:t>
      </w:r>
    </w:p>
    <w:p>
      <w:pPr>
        <w:pStyle w:val="8"/>
        <w:widowControl w:val="0"/>
        <w:numPr>
          <w:ilvl w:val="0"/>
          <w:numId w:val="11"/>
        </w:numPr>
        <w:tabs>
          <w:tab w:val="left" w:pos="567"/>
        </w:tabs>
        <w:spacing w:line="360" w:lineRule="auto"/>
        <w:ind w:left="0" w:firstLine="0"/>
        <w:jc w:val="both"/>
      </w:pPr>
      <w:r>
        <w:rPr>
          <w:rFonts w:ascii="Times New Roman" w:hAnsi="Times New Roman"/>
          <w:sz w:val="24"/>
          <w:lang w:eastAsia="en-US"/>
        </w:rPr>
        <w:t>Autorizo o início dos procedimentos licitatórios e determino a abertura do processo correspondente.</w:t>
      </w:r>
    </w:p>
    <w:p>
      <w:pPr>
        <w:pStyle w:val="8"/>
        <w:widowControl w:val="0"/>
        <w:numPr>
          <w:ilvl w:val="0"/>
          <w:numId w:val="11"/>
        </w:numPr>
        <w:tabs>
          <w:tab w:val="left" w:pos="567"/>
        </w:tabs>
        <w:spacing w:line="360" w:lineRule="auto"/>
        <w:ind w:left="0" w:firstLine="0"/>
        <w:jc w:val="both"/>
      </w:pPr>
      <w:r>
        <w:rPr>
          <w:rFonts w:ascii="Times New Roman" w:hAnsi="Times New Roman"/>
          <w:sz w:val="24"/>
        </w:rPr>
        <w:t xml:space="preserve">A SALC adote providências cabíveis de acordo com as normas em vigor para a seleção de proposta utilizando-se a </w:t>
      </w:r>
      <w:r>
        <w:rPr>
          <w:rStyle w:val="12"/>
          <w:rFonts w:ascii="Times New Roman" w:hAnsi="Times New Roman" w:eastAsia="Arial" w:cs="Times New Roman"/>
          <w:b/>
          <w:bCs/>
          <w:color w:val="00000A"/>
          <w:sz w:val="24"/>
          <w:lang w:eastAsia="ar-SA"/>
        </w:rPr>
        <w:t xml:space="preserve">DISPENSA ELETRÔNICA </w:t>
      </w:r>
      <w:r>
        <w:rPr>
          <w:rStyle w:val="12"/>
          <w:rFonts w:ascii="Times New Roman" w:hAnsi="Times New Roman" w:eastAsia="Arial" w:cs="Times New Roman"/>
          <w:color w:val="00000A"/>
          <w:sz w:val="24"/>
          <w:lang w:eastAsia="ar-SA"/>
        </w:rPr>
        <w:t>no Portal Nacional de Compras Públicas, pois atende os requisitos previstos no inciso II do Art. 75 da lei 14.133/21.</w:t>
      </w:r>
    </w:p>
    <w:p>
      <w:pPr>
        <w:pStyle w:val="10"/>
        <w:numPr>
          <w:ilvl w:val="0"/>
          <w:numId w:val="11"/>
        </w:numPr>
        <w:tabs>
          <w:tab w:val="left" w:pos="567"/>
        </w:tabs>
        <w:spacing w:line="360" w:lineRule="auto"/>
        <w:ind w:left="0" w:firstLine="0"/>
        <w:contextualSpacing/>
      </w:pPr>
      <w:r>
        <w:rPr>
          <w:rFonts w:ascii="Times New Roman" w:hAnsi="Times New Roman" w:cs="Liberation Serif"/>
        </w:rPr>
        <w:t>Publique-se.</w:t>
      </w:r>
    </w:p>
    <w:p>
      <w:pPr>
        <w:tabs>
          <w:tab w:val="left" w:pos="426"/>
          <w:tab w:val="left" w:pos="851"/>
        </w:tabs>
        <w:spacing w:line="360" w:lineRule="auto"/>
        <w:jc w:val="center"/>
      </w:pPr>
      <w:r>
        <w:rPr>
          <w:rFonts w:ascii="Times New Roman" w:hAnsi="Times New Roman"/>
        </w:rPr>
        <w:t xml:space="preserve">Belo Horizonte -MG, </w:t>
      </w:r>
      <w:r>
        <w:rPr>
          <w:rFonts w:hint="default" w:ascii="Times New Roman" w:hAnsi="Times New Roman"/>
          <w:lang w:val="pt-BR"/>
        </w:rPr>
        <w:t xml:space="preserve">       </w:t>
      </w:r>
      <w:r>
        <w:rPr>
          <w:rFonts w:ascii="Times New Roman" w:hAnsi="Times New Roman"/>
        </w:rPr>
        <w:t xml:space="preserve"> de </w:t>
      </w:r>
      <w:r>
        <w:rPr>
          <w:rFonts w:hint="default" w:ascii="Times New Roman" w:hAnsi="Times New Roman"/>
          <w:lang w:val="pt-BR"/>
        </w:rPr>
        <w:t xml:space="preserve">julho de </w:t>
      </w:r>
      <w:r>
        <w:rPr>
          <w:rFonts w:ascii="Times New Roman" w:hAnsi="Times New Roman"/>
        </w:rPr>
        <w:t>202</w:t>
      </w:r>
      <w:r>
        <w:rPr>
          <w:rFonts w:hint="default" w:ascii="Times New Roman" w:hAnsi="Times New Roman"/>
          <w:lang w:val="pt-BR"/>
        </w:rPr>
        <w:t>3</w:t>
      </w:r>
      <w:r>
        <w:rPr>
          <w:rFonts w:ascii="Times New Roman" w:hAnsi="Times New Roman"/>
        </w:rPr>
        <w:t>.</w:t>
      </w:r>
    </w:p>
    <w:p>
      <w:pPr>
        <w:tabs>
          <w:tab w:val="left" w:pos="369"/>
          <w:tab w:val="left" w:pos="794"/>
        </w:tabs>
        <w:spacing w:line="360" w:lineRule="auto"/>
        <w:ind w:left="-57"/>
        <w:jc w:val="center"/>
        <w:rPr>
          <w:rFonts w:ascii="Times New Roman" w:hAnsi="Times New Roman"/>
        </w:rPr>
      </w:pPr>
    </w:p>
    <w:p>
      <w:pPr>
        <w:tabs>
          <w:tab w:val="left" w:pos="369"/>
          <w:tab w:val="left" w:pos="794"/>
        </w:tabs>
        <w:spacing w:line="360" w:lineRule="auto"/>
        <w:ind w:left="-57"/>
        <w:jc w:val="center"/>
        <w:rPr>
          <w:rFonts w:ascii="Times New Roman" w:hAnsi="Times New Roman"/>
        </w:rPr>
      </w:pPr>
    </w:p>
    <w:p>
      <w:pPr>
        <w:tabs>
          <w:tab w:val="left" w:pos="2705"/>
          <w:tab w:val="left" w:pos="3272"/>
        </w:tabs>
        <w:ind w:left="1854"/>
      </w:pPr>
      <w:r>
        <w:rPr>
          <w:rFonts w:ascii="Times New Roman" w:hAnsi="Times New Roman"/>
        </w:rPr>
        <w:t xml:space="preserve">                     ___</w:t>
      </w:r>
      <w:r>
        <w:rPr>
          <w:rFonts w:hint="default" w:ascii="Times New Roman" w:hAnsi="Times New Roman"/>
          <w:lang w:val="pt-BR"/>
        </w:rPr>
        <w:t>_____</w:t>
      </w:r>
      <w:r>
        <w:rPr>
          <w:rFonts w:ascii="Times New Roman" w:hAnsi="Times New Roman"/>
        </w:rPr>
        <w:t>_______</w:t>
      </w:r>
      <w:r>
        <w:rPr>
          <w:rFonts w:hint="default" w:ascii="Times New Roman" w:hAnsi="Times New Roman"/>
          <w:lang w:val="pt-BR"/>
        </w:rPr>
        <w:t>_________</w:t>
      </w:r>
      <w:r>
        <w:rPr>
          <w:rFonts w:ascii="Times New Roman" w:hAnsi="Times New Roman"/>
        </w:rPr>
        <w:t>__________________</w:t>
      </w:r>
    </w:p>
    <w:p>
      <w:pPr>
        <w:contextualSpacing/>
        <w:jc w:val="center"/>
        <w:rPr>
          <w:sz w:val="24"/>
          <w:szCs w:val="24"/>
        </w:rPr>
      </w:pPr>
      <w:r>
        <w:rPr>
          <w:rFonts w:hint="default" w:ascii="Times New Roman" w:hAnsi="Times New Roman" w:eastAsia="WenQuanYi Micro Hei" w:cs="Liberation Serif"/>
          <w:b/>
          <w:bCs/>
          <w:color w:val="00000A"/>
          <w:lang w:val="pt-BR"/>
        </w:rPr>
        <w:t xml:space="preserve">                              </w:t>
      </w:r>
      <w:r>
        <w:rPr>
          <w:rFonts w:ascii="Times New Roman" w:hAnsi="Times New Roman" w:eastAsia="WenQuanYi Micro Hei" w:cs="Liberation Serif"/>
          <w:b/>
          <w:bCs/>
          <w:color w:val="00000A"/>
          <w:sz w:val="24"/>
          <w:szCs w:val="24"/>
        </w:rPr>
        <w:t>A</w:t>
      </w:r>
      <w:r>
        <w:rPr>
          <w:rFonts w:hint="default" w:ascii="Times New Roman" w:hAnsi="Times New Roman" w:eastAsia="WenQuanYi Micro Hei" w:cs="Liberation Serif"/>
          <w:b/>
          <w:bCs/>
          <w:color w:val="00000A"/>
          <w:sz w:val="24"/>
          <w:szCs w:val="24"/>
          <w:lang w:val="pt-BR"/>
        </w:rPr>
        <w:t>LEXANDRE ACCIOLY BORBA</w:t>
      </w:r>
      <w:r>
        <w:rPr>
          <w:rFonts w:ascii="Times New Roman" w:hAnsi="Times New Roman" w:eastAsia="WenQuanYi Micro Hei" w:cs="Liberation Serif"/>
          <w:b/>
          <w:bCs/>
          <w:color w:val="00000A"/>
          <w:sz w:val="24"/>
          <w:szCs w:val="24"/>
        </w:rPr>
        <w:t xml:space="preserve"> - </w:t>
      </w:r>
      <w:r>
        <w:rPr>
          <w:rFonts w:hint="default" w:ascii="Times New Roman" w:hAnsi="Times New Roman" w:eastAsia="WenQuanYi Micro Hei" w:cs="Liberation Serif"/>
          <w:b/>
          <w:bCs/>
          <w:color w:val="00000A"/>
          <w:sz w:val="24"/>
          <w:szCs w:val="24"/>
          <w:lang w:val="pt-BR"/>
        </w:rPr>
        <w:t>TC</w:t>
      </w:r>
    </w:p>
    <w:p>
      <w:pPr>
        <w:pStyle w:val="10"/>
        <w:widowControl/>
        <w:tabs>
          <w:tab w:val="left" w:pos="60"/>
        </w:tabs>
        <w:ind w:hanging="57"/>
        <w:contextualSpacing/>
        <w:jc w:val="center"/>
        <w:rPr>
          <w:sz w:val="24"/>
          <w:szCs w:val="24"/>
        </w:rPr>
      </w:pPr>
      <w:r>
        <w:rPr>
          <w:rStyle w:val="12"/>
          <w:rFonts w:ascii="Times New Roman" w:hAnsi="Times New Roman" w:eastAsia="Times-Bold" w:cs="Liberation Serif"/>
          <w:color w:val="000000"/>
          <w:sz w:val="24"/>
          <w:szCs w:val="24"/>
          <w:highlight w:val="white"/>
        </w:rPr>
        <w:t xml:space="preserve"> </w:t>
      </w:r>
      <w:r>
        <w:rPr>
          <w:rStyle w:val="12"/>
          <w:rFonts w:hint="default" w:ascii="Times New Roman" w:hAnsi="Times New Roman" w:eastAsia="Times-Bold" w:cs="Liberation Serif"/>
          <w:color w:val="000000"/>
          <w:sz w:val="24"/>
          <w:szCs w:val="24"/>
          <w:highlight w:val="white"/>
          <w:lang w:val="pt-BR"/>
        </w:rPr>
        <w:t xml:space="preserve">                  </w:t>
      </w:r>
      <w:r>
        <w:rPr>
          <w:rStyle w:val="12"/>
          <w:rFonts w:ascii="Times New Roman" w:hAnsi="Times New Roman" w:eastAsia="Times-Bold" w:cs="Liberation Serif"/>
          <w:color w:val="000000"/>
          <w:sz w:val="24"/>
          <w:szCs w:val="24"/>
          <w:highlight w:val="white"/>
        </w:rPr>
        <w:t xml:space="preserve">OD II </w:t>
      </w:r>
      <w:r>
        <w:rPr>
          <w:rFonts w:ascii="Times New Roman" w:hAnsi="Times New Roman" w:eastAsia="Times New Roman" w:cs="Liberation Serif"/>
          <w:sz w:val="24"/>
          <w:szCs w:val="24"/>
          <w:highlight w:val="white"/>
          <w:lang w:val="es-ES"/>
        </w:rPr>
        <w:t>Cmdo 4ª RM</w:t>
      </w:r>
    </w:p>
    <w:p/>
    <w:p/>
    <w:p/>
    <w:p/>
    <w:p/>
    <w:p/>
    <w:p/>
    <w:p/>
    <w:p/>
    <w:p/>
    <w:p/>
    <w:p/>
    <w:p/>
    <w:p/>
    <w:p/>
    <w:p/>
    <w:p/>
    <w:p/>
    <w:p/>
    <w:p/>
    <w:p/>
    <w:tbl>
      <w:tblPr>
        <w:tblStyle w:val="3"/>
        <w:tblW w:w="10148" w:type="dxa"/>
        <w:tblInd w:w="-607" w:type="dxa"/>
        <w:tblLayout w:type="fixed"/>
        <w:tblCellMar>
          <w:top w:w="55" w:type="dxa"/>
          <w:left w:w="55" w:type="dxa"/>
          <w:bottom w:w="55" w:type="dxa"/>
          <w:right w:w="55" w:type="dxa"/>
        </w:tblCellMar>
      </w:tblPr>
      <w:tblGrid>
        <w:gridCol w:w="8107"/>
        <w:gridCol w:w="2041"/>
      </w:tblGrid>
      <w:tr>
        <w:tblPrEx>
          <w:tblCellMar>
            <w:top w:w="55" w:type="dxa"/>
            <w:left w:w="55" w:type="dxa"/>
            <w:bottom w:w="55" w:type="dxa"/>
            <w:right w:w="55" w:type="dxa"/>
          </w:tblCellMar>
        </w:tblPrEx>
        <w:tc>
          <w:tcPr>
            <w:tcW w:w="10148" w:type="dxa"/>
            <w:gridSpan w:val="2"/>
            <w:tcBorders>
              <w:top w:val="single" w:color="000000" w:sz="2" w:space="0"/>
              <w:left w:val="single" w:color="000000" w:sz="2" w:space="0"/>
              <w:bottom w:val="single" w:color="000000" w:sz="2" w:space="0"/>
              <w:right w:val="single" w:color="000000" w:sz="2" w:space="0"/>
            </w:tcBorders>
            <w:noWrap w:val="0"/>
            <w:vAlign w:val="top"/>
          </w:tcPr>
          <w:p>
            <w:pPr>
              <w:pStyle w:val="6"/>
              <w:jc w:val="center"/>
              <w:rPr>
                <w:rFonts w:ascii="Times New Roman" w:hAnsi="Times New Roman" w:cs="Open Sans"/>
                <w:b/>
                <w:sz w:val="20"/>
                <w:szCs w:val="20"/>
              </w:rPr>
            </w:pPr>
          </w:p>
          <w:p>
            <w:pPr>
              <w:jc w:val="center"/>
              <w:rPr>
                <w:rFonts w:ascii="Arial" w:hAnsi="Arial" w:cs="Arial"/>
                <w:sz w:val="20"/>
                <w:szCs w:val="20"/>
              </w:rPr>
            </w:pPr>
          </w:p>
          <w:p>
            <w:pPr>
              <w:jc w:val="center"/>
              <w:rPr>
                <w:rFonts w:ascii="Times New Roman" w:hAnsi="Times New Roman" w:cs="Times New Roman"/>
                <w:b/>
                <w:bCs/>
                <w:color w:val="000000"/>
                <w:sz w:val="20"/>
                <w:szCs w:val="20"/>
              </w:rPr>
            </w:pPr>
            <w:r>
              <w:rPr>
                <w:rFonts w:ascii="Arial" w:hAnsi="Arial" w:cs="Arial"/>
                <w:sz w:val="20"/>
                <w:szCs w:val="20"/>
              </w:rPr>
              <w:drawing>
                <wp:inline distT="0" distB="0" distL="114300" distR="114300">
                  <wp:extent cx="842645" cy="799465"/>
                  <wp:effectExtent l="0" t="0" r="14605" b="635"/>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5"/>
                          <a:srcRect l="-165" t="-159" r="-165" b="-159"/>
                          <a:stretch>
                            <a:fillRect/>
                          </a:stretch>
                        </pic:blipFill>
                        <pic:spPr>
                          <a:xfrm>
                            <a:off x="0" y="0"/>
                            <a:ext cx="842645" cy="799465"/>
                          </a:xfrm>
                          <a:prstGeom prst="rect">
                            <a:avLst/>
                          </a:prstGeom>
                          <a:solidFill>
                            <a:srgbClr val="FFFFFF"/>
                          </a:solidFill>
                          <a:ln>
                            <a:noFill/>
                          </a:ln>
                        </pic:spPr>
                      </pic:pic>
                    </a:graphicData>
                  </a:graphic>
                </wp:inline>
              </w:drawing>
            </w:r>
          </w:p>
          <w:p>
            <w:pPr>
              <w:jc w:val="center"/>
            </w:pPr>
            <w:r>
              <w:rPr>
                <w:rFonts w:ascii="Times New Roman" w:hAnsi="Times New Roman" w:cs="Times New Roman"/>
                <w:b/>
                <w:bCs/>
                <w:color w:val="000000"/>
                <w:sz w:val="20"/>
                <w:szCs w:val="20"/>
              </w:rPr>
              <w:t>MINISTÉRIO DA DEFESA</w:t>
            </w:r>
          </w:p>
          <w:p>
            <w:pPr>
              <w:tabs>
                <w:tab w:val="left" w:pos="1417"/>
                <w:tab w:val="left" w:pos="4536"/>
              </w:tabs>
              <w:jc w:val="center"/>
            </w:pPr>
            <w:r>
              <w:rPr>
                <w:rFonts w:ascii="Times New Roman" w:hAnsi="Times New Roman" w:cs="Times New Roman"/>
                <w:b/>
                <w:sz w:val="20"/>
                <w:szCs w:val="20"/>
              </w:rPr>
              <w:t>EXÉRCITO BRASILEIRO</w:t>
            </w:r>
          </w:p>
          <w:p>
            <w:pPr>
              <w:tabs>
                <w:tab w:val="left" w:pos="1417"/>
                <w:tab w:val="left" w:pos="4536"/>
              </w:tabs>
              <w:jc w:val="center"/>
            </w:pPr>
            <w:r>
              <w:rPr>
                <w:rFonts w:ascii="Times New Roman" w:hAnsi="Times New Roman" w:cs="Times New Roman"/>
                <w:b/>
                <w:sz w:val="20"/>
                <w:szCs w:val="20"/>
              </w:rPr>
              <w:t>COMANDO 4ª REGIÃO MILITAR</w:t>
            </w:r>
          </w:p>
          <w:p>
            <w:pPr>
              <w:jc w:val="center"/>
            </w:pPr>
            <w:r>
              <w:rPr>
                <w:rFonts w:ascii="Times New Roman" w:hAnsi="Times New Roman" w:cs="Times New Roman"/>
                <w:b/>
                <w:sz w:val="20"/>
                <w:szCs w:val="20"/>
              </w:rPr>
              <w:t>(4ª Região Militar/1891)</w:t>
            </w:r>
          </w:p>
          <w:p>
            <w:pPr>
              <w:jc w:val="center"/>
            </w:pPr>
            <w:r>
              <w:rPr>
                <w:rFonts w:ascii="Times New Roman" w:hAnsi="Times New Roman" w:cs="Times New Roman"/>
                <w:b/>
                <w:sz w:val="20"/>
                <w:szCs w:val="20"/>
              </w:rPr>
              <w:t>REGIÃO DAS MINAS DO OURO</w:t>
            </w:r>
          </w:p>
          <w:p>
            <w:pPr>
              <w:keepNext/>
              <w:tabs>
                <w:tab w:val="left" w:pos="0"/>
              </w:tabs>
              <w:jc w:val="center"/>
            </w:pPr>
            <w:r>
              <w:rPr>
                <w:rFonts w:ascii="Times New Roman" w:hAnsi="Times New Roman" w:cs="Times New Roman"/>
                <w:sz w:val="20"/>
                <w:szCs w:val="20"/>
              </w:rPr>
              <w:t>Rua Juiz de Fora, nº 900, Barro Preto – Belo Horizonte / MG CEP: 30.180-060</w:t>
            </w:r>
          </w:p>
          <w:p>
            <w:pPr>
              <w:keepNext/>
              <w:tabs>
                <w:tab w:val="left" w:pos="0"/>
              </w:tabs>
              <w:jc w:val="center"/>
            </w:pPr>
            <w:r>
              <w:rPr>
                <w:rFonts w:ascii="Times New Roman" w:hAnsi="Times New Roman" w:cs="Times New Roman"/>
                <w:sz w:val="20"/>
                <w:szCs w:val="20"/>
              </w:rPr>
              <w:t>Tel: (31) 3508-9849 - e-mail: aquisfusexbh@gmail.com</w:t>
            </w:r>
          </w:p>
          <w:p>
            <w:pPr>
              <w:jc w:val="center"/>
              <w:rPr>
                <w:rFonts w:cs="Times New Roman"/>
                <w:b/>
                <w:bCs/>
                <w:color w:val="000000"/>
                <w:sz w:val="22"/>
                <w:szCs w:val="22"/>
              </w:rPr>
            </w:pPr>
            <w:bookmarkStart w:id="5" w:name="_Hlk45029771"/>
            <w:bookmarkEnd w:id="5"/>
          </w:p>
          <w:p>
            <w:pPr>
              <w:spacing w:line="360" w:lineRule="auto"/>
              <w:ind w:right="-1"/>
              <w:jc w:val="center"/>
              <w:rPr>
                <w:rFonts w:hint="default"/>
                <w:lang w:val="pt-BR"/>
              </w:rPr>
            </w:pPr>
            <w:r>
              <w:rPr>
                <w:rFonts w:ascii="Times New Roman" w:hAnsi="Times New Roman" w:cs="Times New Roman"/>
                <w:b/>
                <w:bCs/>
                <w:color w:val="000000"/>
              </w:rPr>
              <w:t xml:space="preserve">DISPENSA ELETRÔNICA nº </w:t>
            </w:r>
            <w:r>
              <w:rPr>
                <w:rFonts w:hint="default" w:ascii="Times New Roman" w:hAnsi="Times New Roman" w:cs="Times New Roman"/>
                <w:b/>
                <w:bCs/>
                <w:color w:val="000000"/>
                <w:lang w:val="pt-BR"/>
              </w:rPr>
              <w:t>561</w:t>
            </w:r>
            <w:r>
              <w:rPr>
                <w:rFonts w:ascii="Times New Roman" w:hAnsi="Times New Roman" w:cs="Times New Roman"/>
                <w:b/>
                <w:bCs/>
                <w:color w:val="000000"/>
              </w:rPr>
              <w:t>/ 202</w:t>
            </w:r>
            <w:r>
              <w:rPr>
                <w:rFonts w:hint="default" w:ascii="Times New Roman" w:hAnsi="Times New Roman" w:cs="Times New Roman"/>
                <w:b/>
                <w:bCs/>
                <w:color w:val="000000"/>
                <w:lang w:val="pt-BR"/>
              </w:rPr>
              <w:t>3</w:t>
            </w:r>
          </w:p>
          <w:p>
            <w:pPr>
              <w:spacing w:before="91"/>
              <w:ind w:left="930" w:right="1111"/>
              <w:jc w:val="center"/>
            </w:pPr>
            <w:r>
              <w:rPr>
                <w:rFonts w:ascii="Times New Roman" w:hAnsi="Times New Roman" w:cs="Times New Roman"/>
                <w:b/>
                <w:bCs/>
                <w:color w:val="000000"/>
              </w:rPr>
              <w:t xml:space="preserve">NUP: </w:t>
            </w:r>
            <w:r>
              <w:rPr>
                <w:rFonts w:hint="default" w:ascii="Times New Roman" w:hAnsi="Times New Roman" w:cs="Times New Roman"/>
                <w:b/>
                <w:bCs/>
                <w:color w:val="000000"/>
                <w:sz w:val="24"/>
                <w:lang w:val="pt-BR"/>
              </w:rPr>
              <w:t>64316.111219/2023-67</w:t>
            </w:r>
          </w:p>
          <w:p>
            <w:pPr>
              <w:pStyle w:val="6"/>
              <w:jc w:val="center"/>
              <w:rPr>
                <w:rFonts w:ascii="Times New Roman" w:hAnsi="Times New Roman" w:cs="Open Sans"/>
                <w:b/>
                <w:bCs/>
                <w:sz w:val="20"/>
                <w:szCs w:val="20"/>
              </w:rPr>
            </w:pPr>
          </w:p>
        </w:tc>
      </w:tr>
      <w:tr>
        <w:tblPrEx>
          <w:tblCellMar>
            <w:top w:w="55" w:type="dxa"/>
            <w:left w:w="55" w:type="dxa"/>
            <w:bottom w:w="55" w:type="dxa"/>
            <w:right w:w="55" w:type="dxa"/>
          </w:tblCellMar>
        </w:tblPrEx>
        <w:tc>
          <w:tcPr>
            <w:tcW w:w="10148" w:type="dxa"/>
            <w:gridSpan w:val="2"/>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spacing w:line="100" w:lineRule="atLeast"/>
              <w:jc w:val="center"/>
            </w:pPr>
            <w:r>
              <w:rPr>
                <w:rFonts w:ascii="Times New Roman" w:hAnsi="Times New Roman" w:cs="Open Sans"/>
                <w:b/>
                <w:bCs/>
                <w:color w:val="000000"/>
                <w:sz w:val="20"/>
                <w:szCs w:val="20"/>
              </w:rPr>
              <w:t>DOCUMENTO DE FORMALIZAÇÃO DA DEMANDA</w:t>
            </w:r>
          </w:p>
        </w:tc>
      </w:tr>
      <w:tr>
        <w:tblPrEx>
          <w:tblCellMar>
            <w:top w:w="55" w:type="dxa"/>
            <w:left w:w="55" w:type="dxa"/>
            <w:bottom w:w="55" w:type="dxa"/>
            <w:right w:w="55" w:type="dxa"/>
          </w:tblCellMar>
        </w:tblPrEx>
        <w:tc>
          <w:tcPr>
            <w:tcW w:w="10148" w:type="dxa"/>
            <w:gridSpan w:val="2"/>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 xml:space="preserve">Órgão: </w:t>
            </w:r>
            <w:r>
              <w:rPr>
                <w:rFonts w:ascii="Times New Roman" w:hAnsi="Times New Roman" w:cs="Times New Roman"/>
                <w:b/>
                <w:bCs/>
                <w:sz w:val="20"/>
                <w:szCs w:val="20"/>
              </w:rPr>
              <w:t>COMANDO DA 4ª REGIÃO MILITAR</w:t>
            </w:r>
          </w:p>
        </w:tc>
      </w:tr>
      <w:tr>
        <w:tblPrEx>
          <w:tblCellMar>
            <w:top w:w="55" w:type="dxa"/>
            <w:left w:w="55" w:type="dxa"/>
            <w:bottom w:w="55" w:type="dxa"/>
            <w:right w:w="55" w:type="dxa"/>
          </w:tblCellMar>
        </w:tblPrEx>
        <w:tc>
          <w:tcPr>
            <w:tcW w:w="10148" w:type="dxa"/>
            <w:gridSpan w:val="2"/>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 xml:space="preserve">Setor Requisitante (Unidade/Setor/Depto): </w:t>
            </w:r>
            <w:r>
              <w:rPr>
                <w:sz w:val="20"/>
                <w:szCs w:val="20"/>
                <w:lang w:val="pt-PT" w:eastAsia="pt-BR"/>
              </w:rPr>
              <w:t>Seção Administrativa de Saúde - PMedGuBH</w:t>
            </w: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pPr>
              <w:pStyle w:val="13"/>
              <w:jc w:val="both"/>
            </w:pPr>
            <w:r>
              <w:rPr>
                <w:rFonts w:ascii="Times New Roman" w:hAnsi="Times New Roman" w:cs="Open Sans"/>
                <w:b/>
                <w:bCs/>
                <w:sz w:val="20"/>
                <w:szCs w:val="20"/>
              </w:rPr>
              <w:t>Responsável pela Demanda:</w:t>
            </w:r>
          </w:p>
        </w:tc>
        <w:tc>
          <w:tcPr>
            <w:tcW w:w="2041" w:type="dxa"/>
            <w:tcBorders>
              <w:top w:val="single" w:color="000000" w:sz="2" w:space="0"/>
              <w:left w:val="single" w:color="000000" w:sz="2" w:space="0"/>
              <w:bottom w:val="single" w:color="000000" w:sz="2" w:space="0"/>
              <w:right w:val="single" w:color="000000" w:sz="2" w:space="0"/>
            </w:tcBorders>
            <w:noWrap w:val="0"/>
            <w:vAlign w:val="center"/>
          </w:tcPr>
          <w:p>
            <w:pPr>
              <w:rPr>
                <w:rFonts w:ascii="Times New Roman" w:hAnsi="Times New Roman" w:cs="Open Sans"/>
                <w:b/>
                <w:bCs/>
                <w:sz w:val="20"/>
                <w:szCs w:val="20"/>
              </w:rPr>
            </w:pP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r>
              <w:rPr>
                <w:rStyle w:val="12"/>
                <w:b/>
                <w:bCs/>
                <w:sz w:val="20"/>
                <w:szCs w:val="20"/>
              </w:rPr>
              <w:t>Nome Completo</w:t>
            </w:r>
            <w:r>
              <w:rPr>
                <w:rStyle w:val="12"/>
                <w:sz w:val="20"/>
                <w:szCs w:val="20"/>
              </w:rPr>
              <w:t xml:space="preserve"> – Cap J</w:t>
            </w:r>
            <w:r>
              <w:rPr>
                <w:rStyle w:val="12"/>
                <w:rFonts w:hint="default"/>
                <w:sz w:val="20"/>
                <w:szCs w:val="20"/>
                <w:lang w:val="pt-BR"/>
              </w:rPr>
              <w:t>U</w:t>
            </w:r>
            <w:r>
              <w:rPr>
                <w:rStyle w:val="12"/>
                <w:sz w:val="20"/>
                <w:szCs w:val="20"/>
              </w:rPr>
              <w:t>LIO C</w:t>
            </w:r>
            <w:r>
              <w:rPr>
                <w:rStyle w:val="12"/>
                <w:rFonts w:hint="default"/>
                <w:sz w:val="20"/>
                <w:szCs w:val="20"/>
                <w:lang w:val="pt-BR"/>
              </w:rPr>
              <w:t>E</w:t>
            </w:r>
            <w:r>
              <w:rPr>
                <w:rStyle w:val="12"/>
                <w:sz w:val="20"/>
                <w:szCs w:val="20"/>
              </w:rPr>
              <w:t>SAR NOTÓRIO RIBEIRO</w:t>
            </w:r>
          </w:p>
        </w:tc>
        <w:tc>
          <w:tcPr>
            <w:tcW w:w="2041" w:type="dxa"/>
            <w:tcBorders>
              <w:top w:val="single" w:color="000000" w:sz="2" w:space="0"/>
              <w:left w:val="single" w:color="000000" w:sz="2" w:space="0"/>
              <w:bottom w:val="single" w:color="000000" w:sz="2" w:space="0"/>
              <w:right w:val="single" w:color="000000" w:sz="2" w:space="0"/>
            </w:tcBorders>
            <w:noWrap w:val="0"/>
            <w:vAlign w:val="center"/>
          </w:tcPr>
          <w:p>
            <w:pPr>
              <w:snapToGrid w:val="0"/>
              <w:rPr>
                <w:rFonts w:ascii="Times New Roman" w:hAnsi="Times New Roman" w:cs="Open Sans"/>
                <w:color w:val="000000"/>
                <w:sz w:val="20"/>
                <w:szCs w:val="20"/>
                <w:lang w:val="pt-PT"/>
              </w:rPr>
            </w:pP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pPr>
              <w:jc w:val="both"/>
            </w:pPr>
            <w:r>
              <w:rPr>
                <w:rFonts w:ascii="Times New Roman" w:hAnsi="Times New Roman" w:cs="Open Sans"/>
                <w:b/>
                <w:bCs/>
                <w:sz w:val="20"/>
                <w:szCs w:val="20"/>
              </w:rPr>
              <w:t xml:space="preserve">E-mail: </w:t>
            </w:r>
          </w:p>
        </w:tc>
        <w:tc>
          <w:tcPr>
            <w:tcW w:w="2041" w:type="dxa"/>
            <w:tcBorders>
              <w:top w:val="single" w:color="000000" w:sz="2" w:space="0"/>
              <w:left w:val="single" w:color="000000" w:sz="2" w:space="0"/>
              <w:bottom w:val="single" w:color="000000" w:sz="2" w:space="0"/>
              <w:right w:val="single" w:color="000000" w:sz="2" w:space="0"/>
            </w:tcBorders>
            <w:noWrap w:val="0"/>
            <w:vAlign w:val="center"/>
          </w:tcPr>
          <w:p>
            <w:r>
              <w:rPr>
                <w:rFonts w:ascii="Times New Roman" w:hAnsi="Times New Roman" w:cs="Open Sans"/>
                <w:b/>
                <w:bCs/>
                <w:sz w:val="20"/>
                <w:szCs w:val="20"/>
              </w:rPr>
              <w:t>Telefone:</w:t>
            </w:r>
          </w:p>
        </w:tc>
      </w:tr>
      <w:tr>
        <w:tblPrEx>
          <w:tblCellMar>
            <w:top w:w="55" w:type="dxa"/>
            <w:left w:w="55" w:type="dxa"/>
            <w:bottom w:w="55" w:type="dxa"/>
            <w:right w:w="55" w:type="dxa"/>
          </w:tblCellMar>
        </w:tblPrEx>
        <w:tc>
          <w:tcPr>
            <w:tcW w:w="8107" w:type="dxa"/>
            <w:tcBorders>
              <w:top w:val="single" w:color="000000" w:sz="2" w:space="0"/>
              <w:left w:val="single" w:color="000000" w:sz="2" w:space="0"/>
              <w:bottom w:val="single" w:color="000000" w:sz="2" w:space="0"/>
              <w:right w:val="single" w:color="000000" w:sz="2" w:space="0"/>
            </w:tcBorders>
            <w:noWrap w:val="0"/>
            <w:vAlign w:val="center"/>
          </w:tcPr>
          <w:p>
            <w:r>
              <w:rPr>
                <w:sz w:val="20"/>
                <w:szCs w:val="20"/>
              </w:rPr>
              <w:t>aquisfusexbh@gmail.com</w:t>
            </w:r>
          </w:p>
        </w:tc>
        <w:tc>
          <w:tcPr>
            <w:tcW w:w="2041" w:type="dxa"/>
            <w:tcBorders>
              <w:top w:val="single" w:color="000000" w:sz="2" w:space="0"/>
              <w:left w:val="single" w:color="000000" w:sz="2" w:space="0"/>
              <w:bottom w:val="single" w:color="000000" w:sz="2" w:space="0"/>
              <w:right w:val="single" w:color="000000" w:sz="2" w:space="0"/>
            </w:tcBorders>
            <w:noWrap w:val="0"/>
            <w:vAlign w:val="center"/>
          </w:tcPr>
          <w:p>
            <w:r>
              <w:rPr>
                <w:sz w:val="20"/>
                <w:szCs w:val="20"/>
              </w:rPr>
              <w:t>(31) 3508-9849</w:t>
            </w:r>
          </w:p>
        </w:tc>
      </w:tr>
    </w:tbl>
    <w:p>
      <w:pPr>
        <w:rPr>
          <w:rFonts w:ascii="Times New Roman" w:hAnsi="Times New Roman" w:cs="Times New Roman"/>
        </w:rPr>
      </w:pPr>
    </w:p>
    <w:tbl>
      <w:tblPr>
        <w:tblStyle w:val="3"/>
        <w:tblW w:w="10200" w:type="dxa"/>
        <w:tblInd w:w="-576"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pStyle w:val="13"/>
              <w:jc w:val="both"/>
            </w:pPr>
            <w:r>
              <w:rPr>
                <w:rFonts w:ascii="Times New Roman" w:hAnsi="Times New Roman" w:cs="Open Sans"/>
                <w:b/>
                <w:bCs/>
                <w:color w:val="000000"/>
                <w:sz w:val="22"/>
                <w:szCs w:val="22"/>
                <w:highlight w:val="lightGray"/>
              </w:rPr>
              <w:t xml:space="preserve">1. Identificação da aquisição </w:t>
            </w:r>
          </w:p>
        </w:tc>
      </w:tr>
      <w:tr>
        <w:tblPrEx>
          <w:tblCellMar>
            <w:top w:w="55" w:type="dxa"/>
            <w:left w:w="55" w:type="dxa"/>
            <w:bottom w:w="55" w:type="dxa"/>
            <w:right w:w="55" w:type="dxa"/>
          </w:tblCellMar>
        </w:tblPrEx>
        <w:trPr>
          <w:trHeight w:val="3435" w:hRule="atLeast"/>
        </w:trPr>
        <w:tc>
          <w:tcPr>
            <w:tcW w:w="10200" w:type="dxa"/>
            <w:tcBorders>
              <w:top w:val="single" w:color="000000" w:sz="2" w:space="0"/>
              <w:left w:val="single" w:color="000000" w:sz="2" w:space="0"/>
              <w:bottom w:val="single" w:color="000000" w:sz="2" w:space="0"/>
              <w:right w:val="single" w:color="000000" w:sz="2" w:space="0"/>
            </w:tcBorders>
            <w:noWrap w:val="0"/>
            <w:vAlign w:val="center"/>
          </w:tcPr>
          <w:p>
            <w:r>
              <w:rPr>
                <w:rStyle w:val="12"/>
                <w:rFonts w:ascii="Times New Roman" w:hAnsi="Times New Roman"/>
                <w:sz w:val="20"/>
                <w:szCs w:val="20"/>
              </w:rPr>
              <w:t>Aquisição de dite enteral para atender necessidade do Posto Médico de Guarnição de Belo Horizonte</w:t>
            </w:r>
            <w:r>
              <w:rPr>
                <w:rFonts w:ascii="Times New Roman" w:hAnsi="Times New Roman"/>
                <w:sz w:val="20"/>
                <w:szCs w:val="20"/>
                <w:lang w:eastAsia="pt-BR"/>
              </w:rPr>
              <w:t>, conforme especificações e quantidades constante na tabela abaixo:</w:t>
            </w:r>
          </w:p>
          <w:tbl>
            <w:tblPr>
              <w:tblStyle w:val="3"/>
              <w:tblW w:w="0" w:type="auto"/>
              <w:tblInd w:w="212" w:type="dxa"/>
              <w:tblLayout w:type="fixed"/>
              <w:tblCellMar>
                <w:top w:w="0" w:type="dxa"/>
                <w:left w:w="115" w:type="dxa"/>
                <w:bottom w:w="0" w:type="dxa"/>
                <w:right w:w="108" w:type="dxa"/>
              </w:tblCellMar>
            </w:tblPr>
            <w:tblGrid>
              <w:gridCol w:w="791"/>
              <w:gridCol w:w="4429"/>
              <w:gridCol w:w="1128"/>
              <w:gridCol w:w="1252"/>
              <w:gridCol w:w="1895"/>
            </w:tblGrid>
            <w:tr>
              <w:tblPrEx>
                <w:tblCellMar>
                  <w:top w:w="0" w:type="dxa"/>
                  <w:left w:w="115" w:type="dxa"/>
                  <w:bottom w:w="0" w:type="dxa"/>
                  <w:right w:w="108" w:type="dxa"/>
                </w:tblCellMar>
              </w:tblPrEx>
              <w:trPr>
                <w:trHeight w:val="675" w:hRule="atLeast"/>
              </w:trPr>
              <w:tc>
                <w:tcPr>
                  <w:tcW w:w="791" w:type="dxa"/>
                  <w:tcBorders>
                    <w:top w:val="single" w:color="000000" w:sz="6" w:space="0"/>
                    <w:left w:val="single" w:color="000000" w:sz="6" w:space="0"/>
                    <w:bottom w:val="single" w:color="000000" w:sz="6" w:space="0"/>
                  </w:tcBorders>
                  <w:noWrap w:val="0"/>
                  <w:vAlign w:val="center"/>
                </w:tcPr>
                <w:p>
                  <w:r>
                    <w:rPr>
                      <w:rFonts w:ascii="Times New Roman" w:hAnsi="Times New Roman"/>
                      <w:sz w:val="20"/>
                      <w:szCs w:val="20"/>
                    </w:rPr>
                    <w:t>Item</w:t>
                  </w:r>
                </w:p>
              </w:tc>
              <w:tc>
                <w:tcPr>
                  <w:tcW w:w="4429" w:type="dxa"/>
                  <w:tcBorders>
                    <w:top w:val="single" w:color="000000" w:sz="6" w:space="0"/>
                    <w:left w:val="single" w:color="000000" w:sz="6" w:space="0"/>
                    <w:bottom w:val="single" w:color="000000" w:sz="6" w:space="0"/>
                  </w:tcBorders>
                  <w:noWrap w:val="0"/>
                  <w:vAlign w:val="center"/>
                </w:tcPr>
                <w:p>
                  <w:r>
                    <w:rPr>
                      <w:rFonts w:ascii="Times New Roman" w:hAnsi="Times New Roman"/>
                      <w:sz w:val="20"/>
                      <w:szCs w:val="20"/>
                    </w:rPr>
                    <w:t>Especificação do objeto</w:t>
                  </w:r>
                </w:p>
              </w:tc>
              <w:tc>
                <w:tcPr>
                  <w:tcW w:w="1128" w:type="dxa"/>
                  <w:tcBorders>
                    <w:top w:val="single" w:color="000000" w:sz="6" w:space="0"/>
                    <w:left w:val="single" w:color="000000" w:sz="6" w:space="0"/>
                    <w:bottom w:val="single" w:color="000000" w:sz="6" w:space="0"/>
                  </w:tcBorders>
                  <w:noWrap w:val="0"/>
                  <w:vAlign w:val="center"/>
                </w:tcPr>
                <w:p>
                  <w:r>
                    <w:rPr>
                      <w:rFonts w:ascii="Times New Roman" w:hAnsi="Times New Roman"/>
                      <w:sz w:val="20"/>
                      <w:szCs w:val="20"/>
                    </w:rPr>
                    <w:t>Unidade medida</w:t>
                  </w:r>
                </w:p>
              </w:tc>
              <w:tc>
                <w:tcPr>
                  <w:tcW w:w="1252" w:type="dxa"/>
                  <w:tcBorders>
                    <w:top w:val="single" w:color="000000" w:sz="6" w:space="0"/>
                    <w:left w:val="single" w:color="000000" w:sz="6" w:space="0"/>
                    <w:bottom w:val="single" w:color="000000" w:sz="6" w:space="0"/>
                  </w:tcBorders>
                  <w:noWrap w:val="0"/>
                  <w:vAlign w:val="center"/>
                </w:tcPr>
                <w:p>
                  <w:r>
                    <w:rPr>
                      <w:rFonts w:ascii="Times New Roman" w:hAnsi="Times New Roman"/>
                      <w:sz w:val="20"/>
                      <w:szCs w:val="20"/>
                    </w:rPr>
                    <w:t>CATMAT</w:t>
                  </w:r>
                </w:p>
              </w:tc>
              <w:tc>
                <w:tcPr>
                  <w:tcW w:w="1895" w:type="dxa"/>
                  <w:tcBorders>
                    <w:top w:val="single" w:color="000000" w:sz="6" w:space="0"/>
                    <w:left w:val="single" w:color="000000" w:sz="6" w:space="0"/>
                    <w:bottom w:val="single" w:color="000000" w:sz="6" w:space="0"/>
                  </w:tcBorders>
                  <w:noWrap w:val="0"/>
                  <w:vAlign w:val="center"/>
                </w:tcPr>
                <w:p>
                  <w:pPr>
                    <w:jc w:val="center"/>
                  </w:pPr>
                  <w:r>
                    <w:rPr>
                      <w:rFonts w:ascii="Times New Roman" w:hAnsi="Times New Roman"/>
                      <w:sz w:val="20"/>
                      <w:szCs w:val="20"/>
                    </w:rPr>
                    <w:t>QTD MÁX</w:t>
                  </w:r>
                </w:p>
              </w:tc>
            </w:tr>
            <w:tr>
              <w:tblPrEx>
                <w:tblCellMar>
                  <w:top w:w="0" w:type="dxa"/>
                  <w:left w:w="115" w:type="dxa"/>
                  <w:bottom w:w="0" w:type="dxa"/>
                  <w:right w:w="108" w:type="dxa"/>
                </w:tblCellMar>
              </w:tblPrEx>
              <w:trPr>
                <w:trHeight w:val="2816" w:hRule="atLeast"/>
              </w:trPr>
              <w:tc>
                <w:tcPr>
                  <w:tcW w:w="791" w:type="dxa"/>
                  <w:tcBorders>
                    <w:left w:val="single" w:color="000000" w:sz="6" w:space="0"/>
                  </w:tcBorders>
                  <w:noWrap w:val="0"/>
                  <w:vAlign w:val="center"/>
                </w:tcPr>
                <w:p>
                  <w:r>
                    <w:rPr>
                      <w:rFonts w:ascii="Times New Roman" w:hAnsi="Times New Roman"/>
                      <w:sz w:val="20"/>
                      <w:szCs w:val="20"/>
                    </w:rPr>
                    <w:t>01</w:t>
                  </w:r>
                </w:p>
              </w:tc>
              <w:tc>
                <w:tcPr>
                  <w:tcW w:w="4429" w:type="dxa"/>
                  <w:tcBorders>
                    <w:left w:val="single" w:color="000000" w:sz="6" w:space="0"/>
                  </w:tcBorders>
                  <w:noWrap w:val="0"/>
                  <w:vAlign w:val="center"/>
                </w:tcPr>
                <w:p>
                  <w:pPr>
                    <w:jc w:val="both"/>
                    <w:rPr>
                      <w:rFonts w:hint="default"/>
                      <w:lang w:val="pt-BR"/>
                    </w:rPr>
                  </w:pPr>
                  <w:r>
                    <w:rPr>
                      <w:rFonts w:hint="default" w:ascii="Times New Roman" w:hAnsi="Times New Roman" w:eastAsia="SimSun" w:cs="Times New Roman"/>
                      <w:sz w:val="24"/>
                      <w:szCs w:val="24"/>
                    </w:rPr>
                    <w:t>A bolsa</w:t>
                  </w:r>
                  <w:r>
                    <w:rPr>
                      <w:rFonts w:hint="default" w:ascii="Times New Roman" w:hAnsi="Times New Roman" w:eastAsia="SimSun" w:cs="Times New Roman"/>
                      <w:sz w:val="24"/>
                      <w:szCs w:val="24"/>
                      <w:lang w:val="pt-BR"/>
                    </w:rPr>
                    <w:t xml:space="preserve"> de Colostomia, marca HOLLISTER,</w:t>
                  </w:r>
                  <w:r>
                    <w:rPr>
                      <w:rFonts w:hint="default" w:ascii="Times New Roman" w:hAnsi="Times New Roman" w:eastAsia="SimSun" w:cs="Times New Roman"/>
                      <w:sz w:val="24"/>
                      <w:szCs w:val="24"/>
                    </w:rPr>
                    <w:t xml:space="preserve"> possui 4 camadas de filme plástico anti odor e com baixo ruído. Bolsa opaca que impede a visualização de seu conteúdo o que garante conforto e discrição para o paciente. Bolsa drenável com fechamento por clamp/clip (vendido separadamente). A bolsa tem uma tela antiaderente de não tecido o que permite a não aderência da bolsa na pele.</w:t>
                  </w:r>
                  <w:r>
                    <w:rPr>
                      <w:rFonts w:hint="default" w:ascii="Times New Roman" w:hAnsi="Times New Roman" w:cs="Times New Roman"/>
                      <w:sz w:val="24"/>
                      <w:szCs w:val="24"/>
                      <w:lang w:val="pt-BR"/>
                    </w:rPr>
                    <w:t>Código: 18114</w:t>
                  </w:r>
                </w:p>
              </w:tc>
              <w:tc>
                <w:tcPr>
                  <w:tcW w:w="1128" w:type="dxa"/>
                  <w:tcBorders>
                    <w:left w:val="single" w:color="000000" w:sz="6" w:space="0"/>
                  </w:tcBorders>
                  <w:noWrap w:val="0"/>
                  <w:vAlign w:val="center"/>
                </w:tcPr>
                <w:p>
                  <w:pPr>
                    <w:jc w:val="center"/>
                    <w:rPr>
                      <w:rFonts w:hint="default"/>
                      <w:lang w:val="pt-BR"/>
                    </w:rPr>
                  </w:pPr>
                  <w:r>
                    <w:rPr>
                      <w:rFonts w:hint="default" w:ascii="Times New Roman" w:hAnsi="Times New Roman"/>
                      <w:sz w:val="20"/>
                      <w:szCs w:val="20"/>
                      <w:lang w:val="pt-BR"/>
                    </w:rPr>
                    <w:t>UND</w:t>
                  </w:r>
                </w:p>
              </w:tc>
              <w:tc>
                <w:tcPr>
                  <w:tcW w:w="1252" w:type="dxa"/>
                  <w:tcBorders>
                    <w:left w:val="single" w:color="000000" w:sz="6" w:space="0"/>
                  </w:tcBorders>
                  <w:noWrap w:val="0"/>
                  <w:vAlign w:val="center"/>
                </w:tcPr>
                <w:p>
                  <w:r>
                    <w:rPr>
                      <w:rFonts w:ascii="Times New Roman" w:hAnsi="Times New Roman"/>
                      <w:sz w:val="20"/>
                      <w:szCs w:val="20"/>
                    </w:rPr>
                    <w:t>4</w:t>
                  </w:r>
                  <w:r>
                    <w:rPr>
                      <w:rFonts w:hint="default" w:ascii="Times New Roman" w:hAnsi="Times New Roman"/>
                      <w:sz w:val="20"/>
                      <w:szCs w:val="20"/>
                      <w:lang w:val="pt-BR"/>
                    </w:rPr>
                    <w:t>77339</w:t>
                  </w:r>
                </w:p>
              </w:tc>
              <w:tc>
                <w:tcPr>
                  <w:tcW w:w="1895" w:type="dxa"/>
                  <w:tcBorders>
                    <w:left w:val="single" w:color="000000" w:sz="6" w:space="0"/>
                  </w:tcBorders>
                  <w:noWrap w:val="0"/>
                  <w:vAlign w:val="center"/>
                </w:tcPr>
                <w:p>
                  <w:pPr>
                    <w:jc w:val="center"/>
                    <w:rPr>
                      <w:rFonts w:hint="default"/>
                      <w:lang w:val="pt-BR"/>
                    </w:rPr>
                  </w:pPr>
                  <w:r>
                    <w:rPr>
                      <w:rFonts w:hint="default" w:ascii="Times New Roman" w:hAnsi="Times New Roman"/>
                      <w:sz w:val="20"/>
                      <w:szCs w:val="20"/>
                      <w:lang w:val="pt-BR"/>
                    </w:rPr>
                    <w:t>180</w:t>
                  </w:r>
                </w:p>
              </w:tc>
            </w:tr>
            <w:tr>
              <w:tblPrEx>
                <w:tblCellMar>
                  <w:top w:w="0" w:type="dxa"/>
                  <w:left w:w="115" w:type="dxa"/>
                  <w:bottom w:w="0" w:type="dxa"/>
                  <w:right w:w="108" w:type="dxa"/>
                </w:tblCellMar>
              </w:tblPrEx>
              <w:trPr>
                <w:trHeight w:val="2816" w:hRule="atLeast"/>
              </w:trPr>
              <w:tc>
                <w:tcPr>
                  <w:tcW w:w="791" w:type="dxa"/>
                  <w:tcBorders>
                    <w:left w:val="single" w:color="000000" w:sz="6" w:space="0"/>
                  </w:tcBorders>
                  <w:noWrap w:val="0"/>
                  <w:vAlign w:val="center"/>
                </w:tcPr>
                <w:p>
                  <w:pPr>
                    <w:rPr>
                      <w:rFonts w:hint="default" w:ascii="Times New Roman" w:hAnsi="Times New Roman"/>
                      <w:sz w:val="20"/>
                      <w:szCs w:val="20"/>
                      <w:lang w:val="pt-BR"/>
                    </w:rPr>
                  </w:pPr>
                  <w:r>
                    <w:rPr>
                      <w:rFonts w:hint="default" w:ascii="Times New Roman" w:hAnsi="Times New Roman"/>
                      <w:sz w:val="20"/>
                      <w:szCs w:val="20"/>
                      <w:lang w:val="pt-BR"/>
                    </w:rPr>
                    <w:t>2</w:t>
                  </w:r>
                </w:p>
              </w:tc>
              <w:tc>
                <w:tcPr>
                  <w:tcW w:w="4429" w:type="dxa"/>
                  <w:tcBorders>
                    <w:left w:val="single" w:color="000000" w:sz="6" w:space="0"/>
                  </w:tcBorders>
                  <w:noWrap w:val="0"/>
                  <w:vAlign w:val="center"/>
                </w:tcPr>
                <w:p>
                  <w:pPr>
                    <w:jc w:val="both"/>
                    <w:rPr>
                      <w:rFonts w:ascii="Times New Roman" w:hAnsi="Times New Roman"/>
                      <w:color w:val="000000"/>
                      <w:sz w:val="20"/>
                      <w:szCs w:val="20"/>
                    </w:rPr>
                  </w:pPr>
                  <w:r>
                    <w:rPr>
                      <w:rFonts w:hint="default" w:ascii="Times New Roman" w:hAnsi="Times New Roman" w:eastAsia="SimSun" w:cs="Times New Roman"/>
                      <w:sz w:val="24"/>
                      <w:szCs w:val="24"/>
                      <w:lang w:val="pt-BR"/>
                    </w:rPr>
                    <w:t xml:space="preserve">Placa marca HOLLISTER, </w:t>
                  </w:r>
                  <w:r>
                    <w:rPr>
                      <w:rFonts w:hint="default" w:ascii="Times New Roman" w:hAnsi="Times New Roman" w:eastAsia="SimSun" w:cs="Times New Roman"/>
                      <w:sz w:val="24"/>
                      <w:szCs w:val="24"/>
                    </w:rPr>
                    <w:t>Possui a exclusiva resina FormaFlex altamente absorvente, flexível, durável e modelável/Garante adesividade e proteção periestoma/Possui adesivo hipoalergênico, flexível e gás-permeável/Base adesiva plana e modelável até 57mm que proporciona adaptação adequada ao tamanho do estoma/Dispensa medida, desenho e recorte sendo modelada manualmente pelo próprio paciente ou cuidador/Várias possibilidades de combinações com as Bolsas de Colostomia Hollister Sistema 2 peças, promovendo conforto e segurança aos pacientes/Plana e modelável pode ser adaptada adequadamente ao tamanho de diversos estomas/Flange Flotante de baixo perfil com ponto de fechamento central, possibilitando encaixe facilitado e sem exercer pressão abdominal.</w:t>
                  </w:r>
                </w:p>
              </w:tc>
              <w:tc>
                <w:tcPr>
                  <w:tcW w:w="1128" w:type="dxa"/>
                  <w:tcBorders>
                    <w:left w:val="single" w:color="000000" w:sz="6" w:space="0"/>
                  </w:tcBorders>
                  <w:noWrap w:val="0"/>
                  <w:vAlign w:val="center"/>
                </w:tcPr>
                <w:p>
                  <w:pPr>
                    <w:jc w:val="center"/>
                    <w:rPr>
                      <w:rFonts w:hint="default" w:ascii="Times New Roman" w:hAnsi="Times New Roman"/>
                      <w:sz w:val="20"/>
                      <w:szCs w:val="20"/>
                      <w:lang w:val="pt-BR"/>
                    </w:rPr>
                  </w:pPr>
                  <w:r>
                    <w:rPr>
                      <w:rFonts w:hint="default" w:ascii="Times New Roman" w:hAnsi="Times New Roman"/>
                      <w:sz w:val="20"/>
                      <w:szCs w:val="20"/>
                      <w:lang w:val="pt-BR"/>
                    </w:rPr>
                    <w:t>UND</w:t>
                  </w:r>
                </w:p>
              </w:tc>
              <w:tc>
                <w:tcPr>
                  <w:tcW w:w="1252" w:type="dxa"/>
                  <w:tcBorders>
                    <w:left w:val="single" w:color="000000" w:sz="6" w:space="0"/>
                  </w:tcBorders>
                  <w:noWrap w:val="0"/>
                  <w:vAlign w:val="center"/>
                </w:tcPr>
                <w:p>
                  <w:pPr>
                    <w:rPr>
                      <w:rFonts w:hint="default" w:ascii="Times New Roman" w:hAnsi="Times New Roman"/>
                      <w:sz w:val="20"/>
                      <w:szCs w:val="20"/>
                      <w:lang w:val="pt-BR"/>
                    </w:rPr>
                  </w:pPr>
                  <w:r>
                    <w:rPr>
                      <w:rFonts w:hint="default" w:ascii="Times New Roman" w:hAnsi="Times New Roman"/>
                      <w:sz w:val="20"/>
                      <w:szCs w:val="20"/>
                      <w:lang w:val="pt-BR"/>
                    </w:rPr>
                    <w:t>477161</w:t>
                  </w:r>
                </w:p>
              </w:tc>
              <w:tc>
                <w:tcPr>
                  <w:tcW w:w="1895" w:type="dxa"/>
                  <w:tcBorders>
                    <w:left w:val="single" w:color="000000" w:sz="6" w:space="0"/>
                  </w:tcBorders>
                  <w:noWrap w:val="0"/>
                  <w:vAlign w:val="center"/>
                </w:tcPr>
                <w:p>
                  <w:pPr>
                    <w:jc w:val="center"/>
                    <w:rPr>
                      <w:rFonts w:hint="default" w:ascii="Times New Roman" w:hAnsi="Times New Roman"/>
                      <w:sz w:val="20"/>
                      <w:szCs w:val="20"/>
                      <w:lang w:val="pt-BR"/>
                    </w:rPr>
                  </w:pPr>
                  <w:r>
                    <w:rPr>
                      <w:rFonts w:hint="default" w:ascii="Times New Roman" w:hAnsi="Times New Roman"/>
                      <w:sz w:val="20"/>
                      <w:szCs w:val="20"/>
                      <w:lang w:val="pt-BR"/>
                    </w:rPr>
                    <w:t>30</w:t>
                  </w:r>
                </w:p>
              </w:tc>
            </w:tr>
            <w:tr>
              <w:tblPrEx>
                <w:tblCellMar>
                  <w:top w:w="0" w:type="dxa"/>
                  <w:left w:w="115" w:type="dxa"/>
                  <w:bottom w:w="0" w:type="dxa"/>
                  <w:right w:w="108" w:type="dxa"/>
                </w:tblCellMar>
              </w:tblPrEx>
              <w:trPr>
                <w:trHeight w:val="675" w:hRule="atLeast"/>
              </w:trPr>
              <w:tc>
                <w:tcPr>
                  <w:tcW w:w="791" w:type="dxa"/>
                  <w:tcBorders>
                    <w:left w:val="single" w:color="000000" w:sz="6" w:space="0"/>
                  </w:tcBorders>
                  <w:noWrap w:val="0"/>
                  <w:vAlign w:val="center"/>
                </w:tcPr>
                <w:p>
                  <w:pPr>
                    <w:rPr>
                      <w:rFonts w:ascii="Times New Roman" w:hAnsi="Times New Roman"/>
                      <w:sz w:val="20"/>
                      <w:szCs w:val="20"/>
                    </w:rPr>
                  </w:pPr>
                </w:p>
              </w:tc>
              <w:tc>
                <w:tcPr>
                  <w:tcW w:w="4429" w:type="dxa"/>
                  <w:tcBorders>
                    <w:left w:val="single" w:color="000000" w:sz="6" w:space="0"/>
                  </w:tcBorders>
                  <w:noWrap w:val="0"/>
                  <w:vAlign w:val="center"/>
                </w:tcPr>
                <w:p>
                  <w:pPr>
                    <w:rPr>
                      <w:rFonts w:ascii="Times New Roman" w:hAnsi="Times New Roman"/>
                      <w:color w:val="000000"/>
                      <w:sz w:val="20"/>
                      <w:szCs w:val="20"/>
                    </w:rPr>
                  </w:pPr>
                </w:p>
              </w:tc>
              <w:tc>
                <w:tcPr>
                  <w:tcW w:w="1128" w:type="dxa"/>
                  <w:tcBorders>
                    <w:left w:val="single" w:color="000000" w:sz="6" w:space="0"/>
                  </w:tcBorders>
                  <w:noWrap w:val="0"/>
                  <w:vAlign w:val="center"/>
                </w:tcPr>
                <w:p>
                  <w:pPr>
                    <w:jc w:val="center"/>
                    <w:rPr>
                      <w:rFonts w:ascii="Times New Roman" w:hAnsi="Times New Roman"/>
                      <w:sz w:val="20"/>
                      <w:szCs w:val="20"/>
                    </w:rPr>
                  </w:pPr>
                </w:p>
              </w:tc>
              <w:tc>
                <w:tcPr>
                  <w:tcW w:w="1252" w:type="dxa"/>
                  <w:tcBorders>
                    <w:left w:val="single" w:color="000000" w:sz="6" w:space="0"/>
                  </w:tcBorders>
                  <w:noWrap w:val="0"/>
                  <w:vAlign w:val="center"/>
                </w:tcPr>
                <w:p>
                  <w:pPr>
                    <w:rPr>
                      <w:rFonts w:ascii="Times New Roman" w:hAnsi="Times New Roman"/>
                      <w:sz w:val="20"/>
                      <w:szCs w:val="20"/>
                    </w:rPr>
                  </w:pPr>
                </w:p>
              </w:tc>
              <w:tc>
                <w:tcPr>
                  <w:tcW w:w="1895" w:type="dxa"/>
                  <w:tcBorders>
                    <w:left w:val="single" w:color="000000" w:sz="6" w:space="0"/>
                  </w:tcBorders>
                  <w:noWrap w:val="0"/>
                  <w:vAlign w:val="center"/>
                </w:tcPr>
                <w:p>
                  <w:pPr>
                    <w:jc w:val="center"/>
                    <w:rPr>
                      <w:rFonts w:ascii="Times New Roman" w:hAnsi="Times New Roman"/>
                      <w:sz w:val="20"/>
                      <w:szCs w:val="20"/>
                    </w:rPr>
                  </w:pPr>
                </w:p>
              </w:tc>
            </w:tr>
            <w:tr>
              <w:tblPrEx>
                <w:tblCellMar>
                  <w:top w:w="0" w:type="dxa"/>
                  <w:left w:w="115" w:type="dxa"/>
                  <w:bottom w:w="0" w:type="dxa"/>
                  <w:right w:w="108" w:type="dxa"/>
                </w:tblCellMar>
              </w:tblPrEx>
              <w:trPr>
                <w:trHeight w:val="675" w:hRule="atLeast"/>
              </w:trPr>
              <w:tc>
                <w:tcPr>
                  <w:tcW w:w="791" w:type="dxa"/>
                  <w:tcBorders>
                    <w:left w:val="single" w:color="000000" w:sz="6" w:space="0"/>
                  </w:tcBorders>
                  <w:noWrap w:val="0"/>
                  <w:vAlign w:val="center"/>
                </w:tcPr>
                <w:p>
                  <w:pPr>
                    <w:rPr>
                      <w:rFonts w:ascii="Times New Roman" w:hAnsi="Times New Roman"/>
                      <w:sz w:val="20"/>
                      <w:szCs w:val="20"/>
                    </w:rPr>
                  </w:pPr>
                </w:p>
              </w:tc>
              <w:tc>
                <w:tcPr>
                  <w:tcW w:w="4429" w:type="dxa"/>
                  <w:tcBorders>
                    <w:left w:val="single" w:color="000000" w:sz="6" w:space="0"/>
                  </w:tcBorders>
                  <w:noWrap w:val="0"/>
                  <w:vAlign w:val="center"/>
                </w:tcPr>
                <w:p>
                  <w:pPr>
                    <w:rPr>
                      <w:rFonts w:ascii="Times New Roman" w:hAnsi="Times New Roman"/>
                      <w:color w:val="000000"/>
                      <w:sz w:val="20"/>
                      <w:szCs w:val="20"/>
                    </w:rPr>
                  </w:pPr>
                </w:p>
              </w:tc>
              <w:tc>
                <w:tcPr>
                  <w:tcW w:w="1128" w:type="dxa"/>
                  <w:tcBorders>
                    <w:left w:val="single" w:color="000000" w:sz="6" w:space="0"/>
                  </w:tcBorders>
                  <w:noWrap w:val="0"/>
                  <w:vAlign w:val="center"/>
                </w:tcPr>
                <w:p>
                  <w:pPr>
                    <w:jc w:val="center"/>
                    <w:rPr>
                      <w:rFonts w:ascii="Times New Roman" w:hAnsi="Times New Roman"/>
                      <w:sz w:val="20"/>
                      <w:szCs w:val="20"/>
                    </w:rPr>
                  </w:pPr>
                </w:p>
              </w:tc>
              <w:tc>
                <w:tcPr>
                  <w:tcW w:w="1252" w:type="dxa"/>
                  <w:tcBorders>
                    <w:left w:val="single" w:color="000000" w:sz="6" w:space="0"/>
                  </w:tcBorders>
                  <w:noWrap w:val="0"/>
                  <w:vAlign w:val="center"/>
                </w:tcPr>
                <w:p>
                  <w:pPr>
                    <w:rPr>
                      <w:rFonts w:ascii="Times New Roman" w:hAnsi="Times New Roman"/>
                      <w:sz w:val="20"/>
                      <w:szCs w:val="20"/>
                    </w:rPr>
                  </w:pPr>
                </w:p>
              </w:tc>
              <w:tc>
                <w:tcPr>
                  <w:tcW w:w="1895" w:type="dxa"/>
                  <w:tcBorders>
                    <w:left w:val="single" w:color="000000" w:sz="6" w:space="0"/>
                  </w:tcBorders>
                  <w:noWrap w:val="0"/>
                  <w:vAlign w:val="center"/>
                </w:tcPr>
                <w:p>
                  <w:pPr>
                    <w:jc w:val="center"/>
                    <w:rPr>
                      <w:rFonts w:ascii="Times New Roman" w:hAnsi="Times New Roman"/>
                      <w:sz w:val="20"/>
                      <w:szCs w:val="20"/>
                    </w:rPr>
                  </w:pPr>
                </w:p>
              </w:tc>
            </w:tr>
            <w:tr>
              <w:tblPrEx>
                <w:tblCellMar>
                  <w:top w:w="0" w:type="dxa"/>
                  <w:left w:w="115" w:type="dxa"/>
                  <w:bottom w:w="0" w:type="dxa"/>
                  <w:right w:w="108" w:type="dxa"/>
                </w:tblCellMar>
              </w:tblPrEx>
              <w:trPr>
                <w:trHeight w:val="675" w:hRule="atLeast"/>
              </w:trPr>
              <w:tc>
                <w:tcPr>
                  <w:tcW w:w="791" w:type="dxa"/>
                  <w:tcBorders>
                    <w:left w:val="single" w:color="000000" w:sz="6" w:space="0"/>
                  </w:tcBorders>
                  <w:noWrap w:val="0"/>
                  <w:vAlign w:val="center"/>
                </w:tcPr>
                <w:p>
                  <w:pPr>
                    <w:rPr>
                      <w:rFonts w:ascii="Times New Roman" w:hAnsi="Times New Roman"/>
                      <w:sz w:val="20"/>
                      <w:szCs w:val="20"/>
                    </w:rPr>
                  </w:pPr>
                </w:p>
              </w:tc>
              <w:tc>
                <w:tcPr>
                  <w:tcW w:w="4429" w:type="dxa"/>
                  <w:tcBorders>
                    <w:left w:val="single" w:color="000000" w:sz="6" w:space="0"/>
                  </w:tcBorders>
                  <w:noWrap w:val="0"/>
                  <w:vAlign w:val="center"/>
                </w:tcPr>
                <w:p>
                  <w:pPr>
                    <w:rPr>
                      <w:rFonts w:ascii="Times New Roman" w:hAnsi="Times New Roman"/>
                      <w:color w:val="000000"/>
                      <w:sz w:val="20"/>
                      <w:szCs w:val="20"/>
                    </w:rPr>
                  </w:pPr>
                </w:p>
              </w:tc>
              <w:tc>
                <w:tcPr>
                  <w:tcW w:w="1128" w:type="dxa"/>
                  <w:tcBorders>
                    <w:left w:val="single" w:color="000000" w:sz="6" w:space="0"/>
                  </w:tcBorders>
                  <w:noWrap w:val="0"/>
                  <w:vAlign w:val="center"/>
                </w:tcPr>
                <w:p>
                  <w:pPr>
                    <w:jc w:val="center"/>
                    <w:rPr>
                      <w:rFonts w:ascii="Times New Roman" w:hAnsi="Times New Roman"/>
                      <w:sz w:val="20"/>
                      <w:szCs w:val="20"/>
                    </w:rPr>
                  </w:pPr>
                </w:p>
              </w:tc>
              <w:tc>
                <w:tcPr>
                  <w:tcW w:w="1252" w:type="dxa"/>
                  <w:tcBorders>
                    <w:left w:val="single" w:color="000000" w:sz="6" w:space="0"/>
                  </w:tcBorders>
                  <w:noWrap w:val="0"/>
                  <w:vAlign w:val="center"/>
                </w:tcPr>
                <w:p>
                  <w:pPr>
                    <w:rPr>
                      <w:rFonts w:ascii="Times New Roman" w:hAnsi="Times New Roman"/>
                      <w:sz w:val="20"/>
                      <w:szCs w:val="20"/>
                    </w:rPr>
                  </w:pPr>
                </w:p>
              </w:tc>
              <w:tc>
                <w:tcPr>
                  <w:tcW w:w="1895" w:type="dxa"/>
                  <w:tcBorders>
                    <w:left w:val="single" w:color="000000" w:sz="6" w:space="0"/>
                  </w:tcBorders>
                  <w:noWrap w:val="0"/>
                  <w:vAlign w:val="center"/>
                </w:tcPr>
                <w:p>
                  <w:pPr>
                    <w:jc w:val="center"/>
                    <w:rPr>
                      <w:rFonts w:ascii="Times New Roman" w:hAnsi="Times New Roman"/>
                      <w:sz w:val="20"/>
                      <w:szCs w:val="20"/>
                    </w:rPr>
                  </w:pPr>
                </w:p>
              </w:tc>
            </w:tr>
            <w:tr>
              <w:tblPrEx>
                <w:tblCellMar>
                  <w:top w:w="0" w:type="dxa"/>
                  <w:left w:w="115" w:type="dxa"/>
                  <w:bottom w:w="0" w:type="dxa"/>
                  <w:right w:w="108" w:type="dxa"/>
                </w:tblCellMar>
              </w:tblPrEx>
              <w:trPr>
                <w:trHeight w:val="90" w:hRule="atLeast"/>
              </w:trPr>
              <w:tc>
                <w:tcPr>
                  <w:tcW w:w="791" w:type="dxa"/>
                  <w:tcBorders>
                    <w:left w:val="single" w:color="000000" w:sz="6" w:space="0"/>
                    <w:bottom w:val="single" w:color="000000" w:sz="6" w:space="0"/>
                  </w:tcBorders>
                  <w:noWrap w:val="0"/>
                  <w:vAlign w:val="center"/>
                </w:tcPr>
                <w:p>
                  <w:pPr>
                    <w:rPr>
                      <w:rFonts w:ascii="Times New Roman" w:hAnsi="Times New Roman"/>
                      <w:sz w:val="20"/>
                      <w:szCs w:val="20"/>
                    </w:rPr>
                  </w:pPr>
                </w:p>
              </w:tc>
              <w:tc>
                <w:tcPr>
                  <w:tcW w:w="4429" w:type="dxa"/>
                  <w:tcBorders>
                    <w:left w:val="single" w:color="000000" w:sz="6" w:space="0"/>
                    <w:bottom w:val="single" w:color="000000" w:sz="6" w:space="0"/>
                  </w:tcBorders>
                  <w:noWrap w:val="0"/>
                  <w:vAlign w:val="center"/>
                </w:tcPr>
                <w:p>
                  <w:pPr>
                    <w:rPr>
                      <w:rFonts w:ascii="Times New Roman" w:hAnsi="Times New Roman"/>
                      <w:color w:val="000000"/>
                      <w:sz w:val="20"/>
                      <w:szCs w:val="20"/>
                    </w:rPr>
                  </w:pPr>
                </w:p>
              </w:tc>
              <w:tc>
                <w:tcPr>
                  <w:tcW w:w="1128" w:type="dxa"/>
                  <w:tcBorders>
                    <w:left w:val="single" w:color="000000" w:sz="6" w:space="0"/>
                    <w:bottom w:val="single" w:color="000000" w:sz="6" w:space="0"/>
                  </w:tcBorders>
                  <w:noWrap w:val="0"/>
                  <w:vAlign w:val="center"/>
                </w:tcPr>
                <w:p>
                  <w:pPr>
                    <w:jc w:val="center"/>
                    <w:rPr>
                      <w:rFonts w:ascii="Times New Roman" w:hAnsi="Times New Roman"/>
                      <w:sz w:val="20"/>
                      <w:szCs w:val="20"/>
                    </w:rPr>
                  </w:pPr>
                </w:p>
              </w:tc>
              <w:tc>
                <w:tcPr>
                  <w:tcW w:w="1252" w:type="dxa"/>
                  <w:tcBorders>
                    <w:left w:val="single" w:color="000000" w:sz="6" w:space="0"/>
                    <w:bottom w:val="single" w:color="000000" w:sz="6" w:space="0"/>
                  </w:tcBorders>
                  <w:noWrap w:val="0"/>
                  <w:vAlign w:val="center"/>
                </w:tcPr>
                <w:p>
                  <w:pPr>
                    <w:rPr>
                      <w:rFonts w:ascii="Times New Roman" w:hAnsi="Times New Roman"/>
                      <w:sz w:val="20"/>
                      <w:szCs w:val="20"/>
                    </w:rPr>
                  </w:pPr>
                </w:p>
              </w:tc>
              <w:tc>
                <w:tcPr>
                  <w:tcW w:w="1895" w:type="dxa"/>
                  <w:tcBorders>
                    <w:left w:val="single" w:color="000000" w:sz="6" w:space="0"/>
                    <w:bottom w:val="single" w:color="000000" w:sz="6" w:space="0"/>
                  </w:tcBorders>
                  <w:noWrap w:val="0"/>
                  <w:vAlign w:val="center"/>
                </w:tcPr>
                <w:p>
                  <w:pPr>
                    <w:jc w:val="center"/>
                    <w:rPr>
                      <w:rFonts w:ascii="Times New Roman" w:hAnsi="Times New Roman"/>
                      <w:sz w:val="20"/>
                      <w:szCs w:val="20"/>
                    </w:rPr>
                  </w:pPr>
                </w:p>
              </w:tc>
            </w:tr>
          </w:tbl>
          <w:p>
            <w:pPr>
              <w:tabs>
                <w:tab w:val="left" w:pos="284"/>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napToGrid w:val="0"/>
              <w:spacing w:line="283" w:lineRule="atLeast"/>
              <w:jc w:val="both"/>
            </w:pPr>
          </w:p>
        </w:tc>
      </w:tr>
    </w:tbl>
    <w:p>
      <w:pPr>
        <w:rPr>
          <w:rFonts w:ascii="Times New Roman" w:hAnsi="Times New Roman" w:cs="Times New Roman"/>
        </w:rPr>
      </w:pPr>
    </w:p>
    <w:tbl>
      <w:tblPr>
        <w:tblStyle w:val="3"/>
        <w:tblW w:w="10200" w:type="dxa"/>
        <w:tblInd w:w="-596"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2. Justificativa da necessidade da contratação:</w:t>
            </w:r>
          </w:p>
        </w:tc>
      </w:tr>
      <w:tr>
        <w:tblPrEx>
          <w:tblCellMar>
            <w:top w:w="55" w:type="dxa"/>
            <w:left w:w="55" w:type="dxa"/>
            <w:bottom w:w="55" w:type="dxa"/>
            <w:right w:w="55" w:type="dxa"/>
          </w:tblCellMar>
        </w:tblPrEx>
        <w:trPr>
          <w:trHeight w:val="655"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8"/>
              <w:tabs>
                <w:tab w:val="left" w:pos="2386"/>
              </w:tabs>
              <w:spacing w:before="57" w:line="360" w:lineRule="auto"/>
              <w:ind w:left="0" w:firstLine="567"/>
              <w:jc w:val="both"/>
            </w:pPr>
            <w:r>
              <w:rPr>
                <w:rStyle w:val="12"/>
                <w:rFonts w:ascii="Times New Roman" w:hAnsi="Times New Roman" w:cs="Times New Roman"/>
                <w:color w:val="000000"/>
                <w:sz w:val="22"/>
                <w:szCs w:val="22"/>
                <w:highlight w:val="white"/>
              </w:rPr>
              <w:t xml:space="preserve">A aquisição de </w:t>
            </w:r>
            <w:r>
              <w:rPr>
                <w:rStyle w:val="12"/>
                <w:rFonts w:hint="default" w:ascii="Times New Roman" w:hAnsi="Times New Roman" w:cs="Times New Roman"/>
                <w:color w:val="000000"/>
                <w:sz w:val="22"/>
                <w:szCs w:val="22"/>
                <w:highlight w:val="white"/>
                <w:lang w:val="pt-BR"/>
              </w:rPr>
              <w:t>bolsas e placas de colostomia</w:t>
            </w:r>
            <w:bookmarkStart w:id="6" w:name="_GoBack"/>
            <w:bookmarkEnd w:id="6"/>
            <w:r>
              <w:rPr>
                <w:rStyle w:val="12"/>
                <w:rFonts w:ascii="Times New Roman" w:hAnsi="Times New Roman" w:cs="Times New Roman"/>
                <w:color w:val="000000"/>
                <w:sz w:val="22"/>
                <w:szCs w:val="22"/>
                <w:highlight w:val="white"/>
              </w:rPr>
              <w:t xml:space="preserve"> para atender necessidade do Posto Médico de Guarnição de Belo Horizonte, em atendimento da Portaria DGP nº 139, 07 de julho de 2015, que aprova as aquisições de medicamentos e produtos médicos.</w:t>
            </w:r>
          </w:p>
        </w:tc>
      </w:tr>
    </w:tbl>
    <w:p>
      <w:pPr>
        <w:rPr>
          <w:sz w:val="16"/>
          <w:szCs w:val="16"/>
        </w:rPr>
      </w:pPr>
    </w:p>
    <w:tbl>
      <w:tblPr>
        <w:tblStyle w:val="3"/>
        <w:tblW w:w="10200" w:type="dxa"/>
        <w:tblInd w:w="-555"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4" w:space="0"/>
              <w:left w:val="single" w:color="000000" w:sz="4" w:space="0"/>
              <w:bottom w:val="single" w:color="000000" w:sz="4" w:space="0"/>
              <w:right w:val="single" w:color="000000" w:sz="4" w:space="0"/>
            </w:tcBorders>
            <w:shd w:val="clear" w:color="auto" w:fill="B2B2B2"/>
            <w:noWrap w:val="0"/>
            <w:vAlign w:val="top"/>
          </w:tcPr>
          <w:p>
            <w:pPr>
              <w:pStyle w:val="13"/>
            </w:pPr>
            <w:r>
              <w:rPr>
                <w:rFonts w:ascii="Times New Roman" w:hAnsi="Times New Roman" w:cs="Open Sans"/>
                <w:b/>
                <w:bCs/>
                <w:color w:val="000000"/>
                <w:sz w:val="22"/>
                <w:szCs w:val="22"/>
              </w:rPr>
              <w:t>3. Justificativa da Quantidade:</w:t>
            </w:r>
          </w:p>
        </w:tc>
      </w:tr>
      <w:tr>
        <w:tblPrEx>
          <w:tblCellMar>
            <w:top w:w="55" w:type="dxa"/>
            <w:left w:w="55" w:type="dxa"/>
            <w:bottom w:w="55" w:type="dxa"/>
            <w:right w:w="55" w:type="dxa"/>
          </w:tblCellMar>
        </w:tblPrEx>
        <w:trPr>
          <w:trHeight w:val="490" w:hRule="atLeast"/>
        </w:trPr>
        <w:tc>
          <w:tcPr>
            <w:tcW w:w="10200" w:type="dxa"/>
            <w:tcBorders>
              <w:left w:val="single" w:color="000000" w:sz="4" w:space="0"/>
              <w:bottom w:val="single" w:color="000000" w:sz="4" w:space="0"/>
              <w:right w:val="single" w:color="000000" w:sz="4" w:space="0"/>
            </w:tcBorders>
            <w:noWrap w:val="0"/>
            <w:vAlign w:val="top"/>
          </w:tcPr>
          <w:p>
            <w:pPr>
              <w:tabs>
                <w:tab w:val="left" w:pos="567"/>
              </w:tabs>
              <w:suppressAutoHyphens w:val="0"/>
              <w:spacing w:before="57" w:after="57" w:line="360" w:lineRule="auto"/>
              <w:jc w:val="both"/>
            </w:pPr>
            <w:r>
              <w:rPr>
                <w:rStyle w:val="12"/>
                <w:rFonts w:ascii="Times New Roman" w:hAnsi="Times New Roman" w:eastAsia="Arial" w:cs="Times New Roman"/>
                <w:color w:val="000000"/>
                <w:sz w:val="21"/>
                <w:szCs w:val="21"/>
                <w:lang w:val="pt-PT" w:eastAsia="ar-SA"/>
              </w:rPr>
              <w:t xml:space="preserve">         A administração, observando o disposto no Art. 18 da Lei nº 14.133/21, justifica as quantidades a serem adquiridas em função de </w:t>
            </w:r>
            <w:r>
              <w:rPr>
                <w:rStyle w:val="12"/>
                <w:lang w:val="pt-PT" w:eastAsia="ar-SA"/>
              </w:rPr>
              <w:t>requerimento de beneficiário do FUSEx.</w:t>
            </w:r>
          </w:p>
        </w:tc>
      </w:tr>
    </w:tbl>
    <w:p>
      <w:pPr>
        <w:rPr>
          <w:rFonts w:ascii="Times New Roman" w:hAnsi="Times New Roman" w:cs="Times New Roman"/>
          <w:sz w:val="28"/>
          <w:szCs w:val="28"/>
        </w:rPr>
      </w:pPr>
    </w:p>
    <w:tbl>
      <w:tblPr>
        <w:tblStyle w:val="3"/>
        <w:tblW w:w="10200" w:type="dxa"/>
        <w:tblInd w:w="-576"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center"/>
          </w:tcPr>
          <w:p>
            <w:pPr>
              <w:pStyle w:val="13"/>
              <w:jc w:val="both"/>
            </w:pPr>
            <w:r>
              <w:rPr>
                <w:rStyle w:val="12"/>
                <w:rFonts w:ascii="Times New Roman" w:hAnsi="Times New Roman" w:cs="Open Sans"/>
                <w:b/>
                <w:bCs/>
                <w:color w:val="000000"/>
                <w:sz w:val="22"/>
                <w:szCs w:val="22"/>
              </w:rPr>
              <w:t>4. Previsão de data em que deve ser iniciada a prestação dos serviços ou entrega do material:</w:t>
            </w:r>
          </w:p>
        </w:tc>
      </w:tr>
      <w:tr>
        <w:tblPrEx>
          <w:tblCellMar>
            <w:top w:w="55" w:type="dxa"/>
            <w:left w:w="55" w:type="dxa"/>
            <w:bottom w:w="55" w:type="dxa"/>
            <w:right w:w="55" w:type="dxa"/>
          </w:tblCellMar>
        </w:tblPrEx>
        <w:trPr>
          <w:trHeight w:val="709" w:hRule="atLeast"/>
        </w:trPr>
        <w:tc>
          <w:tcPr>
            <w:tcW w:w="10200" w:type="dxa"/>
            <w:tcBorders>
              <w:top w:val="single" w:color="000000" w:sz="2" w:space="0"/>
              <w:left w:val="single" w:color="000000" w:sz="2" w:space="0"/>
              <w:bottom w:val="single" w:color="000000" w:sz="2" w:space="0"/>
              <w:right w:val="single" w:color="000000" w:sz="2" w:space="0"/>
            </w:tcBorders>
            <w:noWrap w:val="0"/>
            <w:vAlign w:val="center"/>
          </w:tcPr>
          <w:p>
            <w:pPr>
              <w:pStyle w:val="8"/>
            </w:pPr>
            <w:r>
              <w:rPr>
                <w:lang w:eastAsia="pt-BR"/>
              </w:rPr>
              <w:t xml:space="preserve">Planeja-se que a </w:t>
            </w:r>
            <w:r>
              <w:rPr>
                <w:rStyle w:val="12"/>
                <w:lang w:eastAsia="pt-BR"/>
              </w:rPr>
              <w:t>A</w:t>
            </w:r>
            <w:r>
              <w:rPr>
                <w:rStyle w:val="12"/>
              </w:rPr>
              <w:t>quisição seja entregue, no prazo de até 15 dias após a confirmação do recebimento da Nota de Empenho.</w:t>
            </w:r>
          </w:p>
        </w:tc>
      </w:tr>
    </w:tbl>
    <w:p>
      <w:pPr>
        <w:rPr>
          <w:rFonts w:ascii="Times New Roman" w:hAnsi="Times New Roman" w:cs="Times New Roman"/>
          <w:sz w:val="28"/>
          <w:szCs w:val="28"/>
        </w:rPr>
      </w:pPr>
    </w:p>
    <w:tbl>
      <w:tblPr>
        <w:tblStyle w:val="3"/>
        <w:tblW w:w="10200" w:type="dxa"/>
        <w:tblInd w:w="-565" w:type="dxa"/>
        <w:tblLayout w:type="fixed"/>
        <w:tblCellMar>
          <w:top w:w="55" w:type="dxa"/>
          <w:left w:w="55" w:type="dxa"/>
          <w:bottom w:w="55" w:type="dxa"/>
          <w:right w:w="55" w:type="dxa"/>
        </w:tblCellMar>
      </w:tblPr>
      <w:tblGrid>
        <w:gridCol w:w="2380"/>
        <w:gridCol w:w="3966"/>
        <w:gridCol w:w="1362"/>
        <w:gridCol w:w="1167"/>
        <w:gridCol w:w="1325"/>
      </w:tblGrid>
      <w:tr>
        <w:tblPrEx>
          <w:tblCellMar>
            <w:top w:w="55" w:type="dxa"/>
            <w:left w:w="55" w:type="dxa"/>
            <w:bottom w:w="55" w:type="dxa"/>
            <w:right w:w="55" w:type="dxa"/>
          </w:tblCellMar>
        </w:tblPrEx>
        <w:trPr>
          <w:trHeight w:val="46" w:hRule="atLeast"/>
        </w:trPr>
        <w:tc>
          <w:tcPr>
            <w:tcW w:w="10200" w:type="dxa"/>
            <w:gridSpan w:val="5"/>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5. Indicação dos membros da Equipe de Planejamento:</w:t>
            </w:r>
          </w:p>
        </w:tc>
      </w:tr>
      <w:tr>
        <w:tblPrEx>
          <w:tblCellMar>
            <w:top w:w="55" w:type="dxa"/>
            <w:left w:w="55" w:type="dxa"/>
            <w:bottom w:w="55" w:type="dxa"/>
            <w:right w:w="55" w:type="dxa"/>
          </w:tblCellMar>
        </w:tblPrEx>
        <w:trPr>
          <w:trHeight w:val="46" w:hRule="atLeast"/>
        </w:trPr>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Função/cargo</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Nome do(a) servidor(a)</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RG</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Setor de Lotação</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Ciência</w:t>
            </w:r>
          </w:p>
        </w:tc>
      </w:tr>
      <w:tr>
        <w:tblPrEx>
          <w:tblCellMar>
            <w:top w:w="55" w:type="dxa"/>
            <w:left w:w="55" w:type="dxa"/>
            <w:bottom w:w="55" w:type="dxa"/>
            <w:right w:w="55" w:type="dxa"/>
          </w:tblCellMar>
        </w:tblPrEx>
        <w:trPr>
          <w:trHeight w:val="46" w:hRule="atLeast"/>
        </w:trPr>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Presidente da Equipe de Planejamento</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rStyle w:val="12"/>
              </w:rPr>
              <w:t>-</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pStyle w:val="5"/>
              <w:jc w:val="center"/>
            </w:pPr>
            <w:r>
              <w:t>-</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pPr>
            <w:r>
              <w:t>Dispensado</w:t>
            </w:r>
          </w:p>
        </w:tc>
      </w:tr>
      <w:tr>
        <w:tblPrEx>
          <w:tblCellMar>
            <w:top w:w="55" w:type="dxa"/>
            <w:left w:w="55" w:type="dxa"/>
            <w:bottom w:w="55" w:type="dxa"/>
            <w:right w:w="55" w:type="dxa"/>
          </w:tblCellMar>
        </w:tblPrEx>
        <w:tc>
          <w:tcPr>
            <w:tcW w:w="2380"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Integrante requisitante</w:t>
            </w:r>
          </w:p>
        </w:tc>
        <w:tc>
          <w:tcPr>
            <w:tcW w:w="3966"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rStyle w:val="12"/>
              </w:rPr>
              <w:t>-</w:t>
            </w:r>
          </w:p>
        </w:tc>
        <w:tc>
          <w:tcPr>
            <w:tcW w:w="1362"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167" w:type="dxa"/>
            <w:tcBorders>
              <w:top w:val="single" w:color="000000" w:sz="2" w:space="0"/>
              <w:left w:val="single" w:color="000000" w:sz="2" w:space="0"/>
              <w:bottom w:val="single" w:color="000000" w:sz="2" w:space="0"/>
              <w:right w:val="single" w:color="000000" w:sz="2" w:space="0"/>
            </w:tcBorders>
            <w:noWrap w:val="0"/>
            <w:vAlign w:val="center"/>
          </w:tcPr>
          <w:p>
            <w:pPr>
              <w:jc w:val="center"/>
            </w:pPr>
            <w:r>
              <w:t>-</w:t>
            </w:r>
          </w:p>
        </w:tc>
        <w:tc>
          <w:tcPr>
            <w:tcW w:w="1325" w:type="dxa"/>
            <w:tcBorders>
              <w:top w:val="single" w:color="000000" w:sz="2" w:space="0"/>
              <w:left w:val="single" w:color="000000" w:sz="2" w:space="0"/>
              <w:bottom w:val="single" w:color="000000" w:sz="2" w:space="0"/>
              <w:right w:val="single" w:color="000000" w:sz="2" w:space="0"/>
            </w:tcBorders>
            <w:noWrap w:val="0"/>
            <w:vAlign w:val="center"/>
          </w:tcPr>
          <w:p>
            <w:pPr>
              <w:pStyle w:val="13"/>
            </w:pPr>
            <w:r>
              <w:t>Dispensado</w:t>
            </w:r>
          </w:p>
        </w:tc>
      </w:tr>
    </w:tbl>
    <w:p>
      <w:pPr>
        <w:rPr>
          <w:sz w:val="28"/>
          <w:szCs w:val="28"/>
        </w:rPr>
      </w:pPr>
    </w:p>
    <w:tbl>
      <w:tblPr>
        <w:tblStyle w:val="3"/>
        <w:tblW w:w="10200" w:type="dxa"/>
        <w:tblInd w:w="-576" w:type="dxa"/>
        <w:tblLayout w:type="fixed"/>
        <w:tblCellMar>
          <w:top w:w="55" w:type="dxa"/>
          <w:left w:w="55" w:type="dxa"/>
          <w:bottom w:w="55" w:type="dxa"/>
          <w:right w:w="55" w:type="dxa"/>
        </w:tblCellMar>
      </w:tblPr>
      <w:tblGrid>
        <w:gridCol w:w="1759"/>
        <w:gridCol w:w="2264"/>
        <w:gridCol w:w="1363"/>
        <w:gridCol w:w="1419"/>
        <w:gridCol w:w="1868"/>
        <w:gridCol w:w="1527"/>
      </w:tblGrid>
      <w:tr>
        <w:tblPrEx>
          <w:tblCellMar>
            <w:top w:w="55" w:type="dxa"/>
            <w:left w:w="55" w:type="dxa"/>
            <w:bottom w:w="55" w:type="dxa"/>
            <w:right w:w="55" w:type="dxa"/>
          </w:tblCellMar>
        </w:tblPrEx>
        <w:trPr>
          <w:trHeight w:val="46" w:hRule="atLeast"/>
        </w:trPr>
        <w:tc>
          <w:tcPr>
            <w:tcW w:w="10200" w:type="dxa"/>
            <w:gridSpan w:val="6"/>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6. Indicação de fiscais de contrato:</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Função / Cargo</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Nome Completo</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CPF</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RG</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Setor de Lotação</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rPr>
                <w:rFonts w:ascii="Times New Roman" w:hAnsi="Times New Roman" w:cs="Open Sans"/>
                <w:b/>
                <w:bCs/>
                <w:sz w:val="22"/>
                <w:szCs w:val="22"/>
              </w:rPr>
              <w:t>Ciência</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Fiscal titular</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pStyle w:val="9"/>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 w:val="clear" w:pos="1048"/>
                <w:tab w:val="clear" w:pos="1756"/>
                <w:tab w:val="clear" w:pos="2464"/>
                <w:tab w:val="clear" w:pos="3172"/>
                <w:tab w:val="clear" w:pos="3880"/>
                <w:tab w:val="clear" w:pos="4588"/>
                <w:tab w:val="clear" w:pos="5296"/>
                <w:tab w:val="clear" w:pos="6004"/>
                <w:tab w:val="clear" w:pos="6712"/>
                <w:tab w:val="clear" w:pos="7420"/>
                <w:tab w:val="clear" w:pos="8128"/>
                <w:tab w:val="clear" w:pos="8836"/>
                <w:tab w:val="clear" w:pos="9544"/>
                <w:tab w:val="clear" w:pos="10252"/>
                <w:tab w:val="clear" w:pos="10960"/>
                <w:tab w:val="clear" w:pos="11668"/>
                <w:tab w:val="clear" w:pos="12376"/>
                <w:tab w:val="clear" w:pos="13084"/>
                <w:tab w:val="clear" w:pos="13792"/>
                <w:tab w:val="clear" w:pos="14500"/>
                <w:tab w:val="clear" w:pos="15208"/>
                <w:tab w:val="clear" w:pos="15916"/>
                <w:tab w:val="clear" w:pos="16624"/>
                <w:tab w:val="clear" w:pos="17332"/>
                <w:tab w:val="clear" w:pos="18040"/>
                <w:tab w:val="clear" w:pos="18748"/>
                <w:tab w:val="clear" w:pos="19456"/>
                <w:tab w:val="clear" w:pos="20164"/>
                <w:tab w:val="clear" w:pos="20872"/>
                <w:tab w:val="clear" w:pos="21580"/>
                <w:tab w:val="clear" w:pos="22288"/>
                <w:tab w:val="clear" w:pos="22996"/>
                <w:tab w:val="clear" w:pos="23704"/>
                <w:tab w:val="clear" w:pos="24412"/>
                <w:tab w:val="clear" w:pos="25120"/>
                <w:tab w:val="clear" w:pos="25828"/>
                <w:tab w:val="clear" w:pos="26536"/>
                <w:tab w:val="clear" w:pos="27244"/>
                <w:tab w:val="clear" w:pos="27952"/>
                <w:tab w:val="clear" w:pos="28660"/>
              </w:tabs>
              <w:jc w:val="center"/>
            </w:pPr>
            <w:r>
              <w:rPr>
                <w:rStyle w:val="12"/>
                <w:lang w:val="pt-PT"/>
              </w:rPr>
              <w:t>-</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pPr>
            <w:r>
              <w:t>Dispensado</w:t>
            </w:r>
          </w:p>
        </w:tc>
      </w:tr>
      <w:tr>
        <w:tblPrEx>
          <w:tblCellMar>
            <w:top w:w="55" w:type="dxa"/>
            <w:left w:w="55" w:type="dxa"/>
            <w:bottom w:w="55" w:type="dxa"/>
            <w:right w:w="55" w:type="dxa"/>
          </w:tblCellMar>
        </w:tblPrEx>
        <w:trPr>
          <w:trHeight w:val="46" w:hRule="atLeast"/>
        </w:trPr>
        <w:tc>
          <w:tcPr>
            <w:tcW w:w="1759" w:type="dxa"/>
            <w:tcBorders>
              <w:top w:val="single" w:color="000000" w:sz="2" w:space="0"/>
              <w:left w:val="single" w:color="000000" w:sz="2" w:space="0"/>
              <w:bottom w:val="single" w:color="000000" w:sz="2" w:space="0"/>
              <w:right w:val="single" w:color="000000" w:sz="2" w:space="0"/>
            </w:tcBorders>
            <w:noWrap w:val="0"/>
            <w:vAlign w:val="center"/>
          </w:tcPr>
          <w:p>
            <w:pPr>
              <w:pStyle w:val="13"/>
              <w:snapToGrid w:val="0"/>
              <w:jc w:val="center"/>
            </w:pPr>
            <w:r>
              <w:rPr>
                <w:rFonts w:ascii="Times New Roman" w:hAnsi="Times New Roman" w:cs="Open Sans"/>
                <w:b/>
                <w:bCs/>
                <w:sz w:val="22"/>
                <w:szCs w:val="22"/>
              </w:rPr>
              <w:t>Fiscal substituto</w:t>
            </w:r>
          </w:p>
        </w:tc>
        <w:tc>
          <w:tcPr>
            <w:tcW w:w="2264" w:type="dxa"/>
            <w:tcBorders>
              <w:top w:val="single" w:color="000000" w:sz="2" w:space="0"/>
              <w:left w:val="single" w:color="000000" w:sz="2" w:space="0"/>
              <w:bottom w:val="single" w:color="000000" w:sz="2" w:space="0"/>
              <w:right w:val="single" w:color="000000" w:sz="2" w:space="0"/>
            </w:tcBorders>
            <w:noWrap w:val="0"/>
            <w:vAlign w:val="center"/>
          </w:tcPr>
          <w:p>
            <w:pPr>
              <w:jc w:val="center"/>
            </w:pPr>
            <w:r>
              <w:rPr>
                <w:lang w:val="pt-PT"/>
              </w:rPr>
              <w:t>-</w:t>
            </w:r>
          </w:p>
        </w:tc>
        <w:tc>
          <w:tcPr>
            <w:tcW w:w="1363"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419"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868" w:type="dxa"/>
            <w:tcBorders>
              <w:top w:val="single" w:color="000000" w:sz="2" w:space="0"/>
              <w:left w:val="single" w:color="000000" w:sz="2" w:space="0"/>
              <w:bottom w:val="single" w:color="000000" w:sz="2" w:space="0"/>
              <w:right w:val="single" w:color="000000" w:sz="2" w:space="0"/>
            </w:tcBorders>
            <w:noWrap w:val="0"/>
            <w:vAlign w:val="center"/>
          </w:tcPr>
          <w:p>
            <w:pPr>
              <w:pStyle w:val="13"/>
              <w:jc w:val="center"/>
            </w:pPr>
            <w:r>
              <w:t>-</w:t>
            </w:r>
          </w:p>
        </w:tc>
        <w:tc>
          <w:tcPr>
            <w:tcW w:w="1527" w:type="dxa"/>
            <w:tcBorders>
              <w:top w:val="single" w:color="000000" w:sz="2" w:space="0"/>
              <w:left w:val="single" w:color="000000" w:sz="2" w:space="0"/>
              <w:bottom w:val="single" w:color="000000" w:sz="2" w:space="0"/>
              <w:right w:val="single" w:color="000000" w:sz="2" w:space="0"/>
            </w:tcBorders>
            <w:noWrap w:val="0"/>
            <w:vAlign w:val="center"/>
          </w:tcPr>
          <w:p>
            <w:pPr>
              <w:pStyle w:val="13"/>
            </w:pPr>
            <w:r>
              <w:t>Dispensado</w:t>
            </w:r>
          </w:p>
        </w:tc>
      </w:tr>
    </w:tbl>
    <w:p>
      <w:pPr>
        <w:rPr>
          <w:sz w:val="20"/>
          <w:szCs w:val="20"/>
        </w:rPr>
      </w:pPr>
    </w:p>
    <w:tbl>
      <w:tblPr>
        <w:tblStyle w:val="3"/>
        <w:tblW w:w="10200" w:type="dxa"/>
        <w:tblInd w:w="-607"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7. Responsabilidade pela Formalização da Demanda e Conteúdo do Documento:</w:t>
            </w:r>
          </w:p>
        </w:tc>
      </w:tr>
      <w:tr>
        <w:tblPrEx>
          <w:tblCellMar>
            <w:top w:w="55" w:type="dxa"/>
            <w:left w:w="55" w:type="dxa"/>
            <w:bottom w:w="55" w:type="dxa"/>
            <w:right w:w="55" w:type="dxa"/>
          </w:tblCellMar>
        </w:tblPrEx>
        <w:trPr>
          <w:trHeight w:val="46"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13"/>
              <w:jc w:val="center"/>
            </w:pPr>
          </w:p>
          <w:p>
            <w:pPr>
              <w:pStyle w:val="13"/>
              <w:jc w:val="center"/>
            </w:pPr>
            <w:r>
              <w:rPr>
                <w:rStyle w:val="12"/>
                <w:rFonts w:ascii="Times New Roman" w:hAnsi="Times New Roman" w:cs="Open Sans"/>
                <w:color w:val="000000"/>
                <w:sz w:val="22"/>
                <w:szCs w:val="22"/>
              </w:rPr>
              <w:t xml:space="preserve">Belo Horizonte-MG, _____ de </w:t>
            </w:r>
            <w:r>
              <w:rPr>
                <w:rStyle w:val="12"/>
                <w:rFonts w:hint="default" w:ascii="Times New Roman" w:hAnsi="Times New Roman" w:cs="Open Sans"/>
                <w:color w:val="000000"/>
                <w:sz w:val="22"/>
                <w:szCs w:val="22"/>
                <w:lang w:val="pt-BR"/>
              </w:rPr>
              <w:t>julho</w:t>
            </w:r>
            <w:r>
              <w:rPr>
                <w:rStyle w:val="12"/>
                <w:rFonts w:ascii="Times New Roman" w:hAnsi="Times New Roman" w:cs="Open Sans"/>
                <w:color w:val="000000"/>
                <w:sz w:val="22"/>
                <w:szCs w:val="22"/>
              </w:rPr>
              <w:t xml:space="preserve"> de 202</w:t>
            </w:r>
            <w:r>
              <w:rPr>
                <w:rStyle w:val="12"/>
                <w:rFonts w:hint="default" w:ascii="Times New Roman" w:hAnsi="Times New Roman" w:cs="Open Sans"/>
                <w:color w:val="000000"/>
                <w:sz w:val="22"/>
                <w:szCs w:val="22"/>
                <w:lang w:val="pt-BR"/>
              </w:rPr>
              <w:t>3</w:t>
            </w:r>
            <w:r>
              <w:rPr>
                <w:rStyle w:val="12"/>
                <w:rFonts w:ascii="Times New Roman" w:hAnsi="Times New Roman" w:cs="Open Sans"/>
                <w:color w:val="000000"/>
                <w:sz w:val="22"/>
                <w:szCs w:val="22"/>
              </w:rPr>
              <w:t>.</w:t>
            </w: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jc w:val="center"/>
            </w:pPr>
            <w:r>
              <w:rPr>
                <w:rStyle w:val="12"/>
                <w:b/>
                <w:bCs/>
              </w:rPr>
              <w:t xml:space="preserve"> J</w:t>
            </w:r>
            <w:r>
              <w:rPr>
                <w:rStyle w:val="12"/>
                <w:rFonts w:hint="default"/>
                <w:b/>
                <w:bCs/>
                <w:lang w:val="pt-BR"/>
              </w:rPr>
              <w:t>U</w:t>
            </w:r>
            <w:r>
              <w:rPr>
                <w:rStyle w:val="12"/>
                <w:b/>
                <w:bCs/>
              </w:rPr>
              <w:t>LIO C</w:t>
            </w:r>
            <w:r>
              <w:rPr>
                <w:rStyle w:val="12"/>
                <w:rFonts w:hint="default"/>
                <w:b/>
                <w:bCs/>
                <w:lang w:val="pt-BR"/>
              </w:rPr>
              <w:t>E</w:t>
            </w:r>
            <w:r>
              <w:rPr>
                <w:rStyle w:val="12"/>
                <w:b/>
                <w:bCs/>
              </w:rPr>
              <w:t>SAR NOTÓRIO RIBEIRO – Cap</w:t>
            </w:r>
          </w:p>
          <w:p>
            <w:pPr>
              <w:jc w:val="center"/>
            </w:pPr>
            <w:r>
              <w:t>Adj Seção Administrativa de Saúde do Comando da 4ª Região Militar</w:t>
            </w:r>
          </w:p>
        </w:tc>
      </w:tr>
    </w:tbl>
    <w:p/>
    <w:tbl>
      <w:tblPr>
        <w:tblStyle w:val="3"/>
        <w:tblW w:w="10200" w:type="dxa"/>
        <w:tblInd w:w="-627"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8. Despacho do Fiscal Administrativo:</w:t>
            </w:r>
          </w:p>
        </w:tc>
      </w:tr>
      <w:tr>
        <w:tblPrEx>
          <w:tblCellMar>
            <w:top w:w="55" w:type="dxa"/>
            <w:left w:w="55" w:type="dxa"/>
            <w:bottom w:w="55" w:type="dxa"/>
            <w:right w:w="55" w:type="dxa"/>
          </w:tblCellMar>
        </w:tblPrEx>
        <w:trPr>
          <w:trHeight w:val="880"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6"/>
              <w:tabs>
                <w:tab w:val="center" w:pos="4252"/>
                <w:tab w:val="left" w:pos="8100"/>
                <w:tab w:val="right" w:pos="8504"/>
                <w:tab w:val="left" w:pos="8820"/>
                <w:tab w:val="clear" w:pos="4961"/>
                <w:tab w:val="clear" w:pos="9922"/>
              </w:tabs>
              <w:spacing w:before="120" w:after="120" w:line="276" w:lineRule="auto"/>
              <w:ind w:firstLine="806"/>
              <w:jc w:val="both"/>
            </w:pPr>
            <w:r>
              <w:rPr>
                <w:rStyle w:val="12"/>
                <w:rFonts w:ascii="Times New Roman" w:hAnsi="Times New Roman" w:cs="Open Sans"/>
                <w:sz w:val="22"/>
                <w:szCs w:val="22"/>
                <w:highlight w:val="white"/>
              </w:rPr>
              <w:t>Aprovado:  ( X ) Sim   (     ) Não</w:t>
            </w:r>
          </w:p>
          <w:p>
            <w:pPr>
              <w:pStyle w:val="6"/>
              <w:tabs>
                <w:tab w:val="center" w:pos="4252"/>
                <w:tab w:val="left" w:pos="8100"/>
                <w:tab w:val="right" w:pos="8504"/>
                <w:tab w:val="left" w:pos="8820"/>
                <w:tab w:val="clear" w:pos="4961"/>
                <w:tab w:val="clear" w:pos="9922"/>
              </w:tabs>
              <w:spacing w:before="120" w:after="120" w:line="276" w:lineRule="auto"/>
              <w:ind w:firstLine="806"/>
              <w:jc w:val="both"/>
            </w:pPr>
            <w:r>
              <w:rPr>
                <w:rStyle w:val="12"/>
                <w:rFonts w:ascii="Times New Roman" w:hAnsi="Times New Roman" w:cs="Open Sans"/>
                <w:sz w:val="22"/>
                <w:szCs w:val="22"/>
                <w:highlight w:val="white"/>
              </w:rPr>
              <w:t>Encaminhe-se ao OD.</w:t>
            </w:r>
          </w:p>
          <w:p>
            <w:pPr>
              <w:pStyle w:val="13"/>
              <w:jc w:val="center"/>
            </w:pPr>
            <w:r>
              <w:rPr>
                <w:rStyle w:val="12"/>
                <w:rFonts w:ascii="Times New Roman" w:hAnsi="Times New Roman" w:cs="Open Sans"/>
                <w:color w:val="000000"/>
                <w:sz w:val="22"/>
                <w:szCs w:val="22"/>
              </w:rPr>
              <w:t xml:space="preserve">Belo Horizonte-MG, _____ de </w:t>
            </w:r>
            <w:r>
              <w:rPr>
                <w:rStyle w:val="12"/>
                <w:rFonts w:hint="default" w:ascii="Times New Roman" w:hAnsi="Times New Roman" w:cs="Open Sans"/>
                <w:color w:val="000000"/>
                <w:sz w:val="22"/>
                <w:szCs w:val="22"/>
                <w:lang w:val="pt-BR"/>
              </w:rPr>
              <w:t>julho</w:t>
            </w:r>
            <w:r>
              <w:rPr>
                <w:rStyle w:val="12"/>
                <w:rFonts w:ascii="Times New Roman" w:hAnsi="Times New Roman" w:cs="Open Sans"/>
                <w:color w:val="000000"/>
                <w:sz w:val="22"/>
                <w:szCs w:val="22"/>
              </w:rPr>
              <w:t xml:space="preserve"> de 202</w:t>
            </w:r>
            <w:r>
              <w:rPr>
                <w:rStyle w:val="12"/>
                <w:rFonts w:hint="default" w:ascii="Times New Roman" w:hAnsi="Times New Roman" w:cs="Open Sans"/>
                <w:color w:val="000000"/>
                <w:sz w:val="22"/>
                <w:szCs w:val="22"/>
                <w:lang w:val="pt-BR"/>
              </w:rPr>
              <w:t>3</w:t>
            </w:r>
            <w:r>
              <w:rPr>
                <w:rStyle w:val="12"/>
                <w:rFonts w:ascii="Times New Roman" w:hAnsi="Times New Roman" w:cs="Open Sans"/>
                <w:color w:val="000000"/>
                <w:sz w:val="22"/>
                <w:szCs w:val="22"/>
              </w:rPr>
              <w:t>.</w:t>
            </w: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pStyle w:val="13"/>
              <w:jc w:val="center"/>
              <w:rPr>
                <w:rFonts w:ascii="Times New Roman" w:hAnsi="Times New Roman" w:cs="Open Sans"/>
                <w:color w:val="000000"/>
                <w:sz w:val="22"/>
                <w:szCs w:val="22"/>
              </w:rPr>
            </w:pPr>
          </w:p>
          <w:p>
            <w:pPr>
              <w:jc w:val="center"/>
            </w:pPr>
            <w:r>
              <w:rPr>
                <w:rFonts w:hint="default" w:ascii="Times New Roman" w:hAnsi="Times New Roman" w:cs="Times New Roman"/>
                <w:b/>
                <w:bCs/>
                <w:sz w:val="24"/>
                <w:szCs w:val="24"/>
                <w:lang w:val="pt-BR"/>
              </w:rPr>
              <w:t>FLÁVIO HENRIQUE SOBREIRA</w:t>
            </w:r>
            <w:r>
              <w:rPr>
                <w:rFonts w:hint="default" w:ascii="Times New Roman" w:hAnsi="Times New Roman" w:eastAsia="WenQuanYi Micro Hei" w:cs="Times New Roman"/>
                <w:b/>
                <w:bCs/>
                <w:color w:val="00000A"/>
              </w:rPr>
              <w:t xml:space="preserve"> - TC</w:t>
            </w:r>
          </w:p>
          <w:p>
            <w:pPr>
              <w:jc w:val="center"/>
            </w:pPr>
            <w:r>
              <w:rPr>
                <w:rStyle w:val="12"/>
                <w:rFonts w:ascii="Times New Roman" w:hAnsi="Times New Roman" w:cs="Open Sans"/>
                <w:color w:val="000000"/>
                <w:sz w:val="22"/>
                <w:szCs w:val="22"/>
              </w:rPr>
              <w:t>Chefe da Seção Administrativa de Saúde do Comando da 4ª Região Militar</w:t>
            </w:r>
          </w:p>
        </w:tc>
      </w:tr>
    </w:tbl>
    <w:p/>
    <w:tbl>
      <w:tblPr>
        <w:tblStyle w:val="3"/>
        <w:tblW w:w="10200" w:type="dxa"/>
        <w:tblInd w:w="-700" w:type="dxa"/>
        <w:tblLayout w:type="fixed"/>
        <w:tblCellMar>
          <w:top w:w="55" w:type="dxa"/>
          <w:left w:w="55" w:type="dxa"/>
          <w:bottom w:w="55" w:type="dxa"/>
          <w:right w:w="55" w:type="dxa"/>
        </w:tblCellMar>
      </w:tblPr>
      <w:tblGrid>
        <w:gridCol w:w="10200"/>
      </w:tblGrid>
      <w:tr>
        <w:tblPrEx>
          <w:tblCellMar>
            <w:top w:w="55" w:type="dxa"/>
            <w:left w:w="55" w:type="dxa"/>
            <w:bottom w:w="55" w:type="dxa"/>
            <w:right w:w="55" w:type="dxa"/>
          </w:tblCellMar>
        </w:tblPrEx>
        <w:tc>
          <w:tcPr>
            <w:tcW w:w="10200" w:type="dxa"/>
            <w:tcBorders>
              <w:top w:val="single" w:color="000000" w:sz="2" w:space="0"/>
              <w:left w:val="single" w:color="000000" w:sz="2" w:space="0"/>
              <w:bottom w:val="single" w:color="000000" w:sz="2" w:space="0"/>
              <w:right w:val="single" w:color="000000" w:sz="2" w:space="0"/>
            </w:tcBorders>
            <w:shd w:val="clear" w:color="auto" w:fill="B2B2B2"/>
            <w:noWrap w:val="0"/>
            <w:vAlign w:val="top"/>
          </w:tcPr>
          <w:p>
            <w:pPr>
              <w:pStyle w:val="13"/>
              <w:jc w:val="both"/>
            </w:pPr>
            <w:r>
              <w:rPr>
                <w:rFonts w:ascii="Times New Roman" w:hAnsi="Times New Roman" w:cs="Open Sans"/>
                <w:b/>
                <w:bCs/>
                <w:color w:val="000000"/>
                <w:sz w:val="22"/>
                <w:szCs w:val="22"/>
              </w:rPr>
              <w:t>9. Despacho do Ordenador de Despesas:</w:t>
            </w:r>
          </w:p>
        </w:tc>
      </w:tr>
      <w:tr>
        <w:tblPrEx>
          <w:tblCellMar>
            <w:top w:w="55" w:type="dxa"/>
            <w:left w:w="55" w:type="dxa"/>
            <w:bottom w:w="55" w:type="dxa"/>
            <w:right w:w="55" w:type="dxa"/>
          </w:tblCellMar>
        </w:tblPrEx>
        <w:trPr>
          <w:trHeight w:val="46" w:hRule="atLeast"/>
        </w:trPr>
        <w:tc>
          <w:tcPr>
            <w:tcW w:w="10200" w:type="dxa"/>
            <w:tcBorders>
              <w:top w:val="single" w:color="000000" w:sz="2" w:space="0"/>
              <w:left w:val="single" w:color="000000" w:sz="2" w:space="0"/>
              <w:bottom w:val="single" w:color="000000" w:sz="2" w:space="0"/>
              <w:right w:val="single" w:color="000000" w:sz="2" w:space="0"/>
            </w:tcBorders>
            <w:noWrap w:val="0"/>
            <w:vAlign w:val="top"/>
          </w:tcPr>
          <w:p>
            <w:pPr>
              <w:pStyle w:val="6"/>
              <w:tabs>
                <w:tab w:val="center" w:pos="4252"/>
                <w:tab w:val="left" w:pos="8100"/>
                <w:tab w:val="right" w:pos="8504"/>
                <w:tab w:val="left" w:pos="8820"/>
                <w:tab w:val="clear" w:pos="4961"/>
                <w:tab w:val="clear" w:pos="9922"/>
              </w:tabs>
              <w:spacing w:before="120" w:after="120" w:line="276" w:lineRule="auto"/>
              <w:ind w:left="567"/>
              <w:jc w:val="both"/>
            </w:pPr>
            <w:r>
              <w:rPr>
                <w:rStyle w:val="12"/>
                <w:rFonts w:ascii="Times New Roman" w:hAnsi="Times New Roman" w:cs="Open Sans"/>
                <w:sz w:val="22"/>
                <w:szCs w:val="22"/>
                <w:highlight w:val="white"/>
              </w:rPr>
              <w:t>Autorizado: ( X ) Sim   (     ) Não</w:t>
            </w:r>
          </w:p>
          <w:p>
            <w:pPr>
              <w:pStyle w:val="13"/>
              <w:jc w:val="center"/>
            </w:pPr>
          </w:p>
          <w:p>
            <w:pPr>
              <w:pStyle w:val="13"/>
              <w:jc w:val="center"/>
            </w:pPr>
            <w:r>
              <w:rPr>
                <w:rStyle w:val="12"/>
                <w:rFonts w:ascii="Times New Roman" w:hAnsi="Times New Roman" w:cs="Open Sans"/>
                <w:color w:val="000000"/>
                <w:sz w:val="22"/>
                <w:szCs w:val="22"/>
              </w:rPr>
              <w:t xml:space="preserve">Belo Horizonte-MG, _____ de </w:t>
            </w:r>
            <w:r>
              <w:rPr>
                <w:rStyle w:val="12"/>
                <w:rFonts w:hint="default" w:ascii="Times New Roman" w:hAnsi="Times New Roman" w:cs="Open Sans"/>
                <w:color w:val="000000"/>
                <w:sz w:val="22"/>
                <w:szCs w:val="22"/>
                <w:lang w:val="pt-BR"/>
              </w:rPr>
              <w:t>julho</w:t>
            </w:r>
            <w:r>
              <w:rPr>
                <w:rStyle w:val="12"/>
                <w:rFonts w:ascii="Times New Roman" w:hAnsi="Times New Roman" w:cs="Open Sans"/>
                <w:color w:val="000000"/>
                <w:sz w:val="22"/>
                <w:szCs w:val="22"/>
              </w:rPr>
              <w:t xml:space="preserve"> de 202</w:t>
            </w:r>
            <w:r>
              <w:rPr>
                <w:rStyle w:val="12"/>
                <w:rFonts w:hint="default" w:ascii="Times New Roman" w:hAnsi="Times New Roman" w:cs="Open Sans"/>
                <w:color w:val="000000"/>
                <w:sz w:val="22"/>
                <w:szCs w:val="22"/>
                <w:lang w:val="pt-BR"/>
              </w:rPr>
              <w:t>3</w:t>
            </w:r>
            <w:r>
              <w:rPr>
                <w:rStyle w:val="12"/>
                <w:rFonts w:ascii="Times New Roman" w:hAnsi="Times New Roman" w:cs="Open Sans"/>
                <w:color w:val="000000"/>
                <w:sz w:val="22"/>
                <w:szCs w:val="22"/>
              </w:rPr>
              <w:t>.</w:t>
            </w:r>
          </w:p>
          <w:p>
            <w:pPr>
              <w:pStyle w:val="13"/>
              <w:jc w:val="center"/>
            </w:pPr>
          </w:p>
          <w:p>
            <w:pPr>
              <w:pStyle w:val="13"/>
              <w:jc w:val="center"/>
            </w:pPr>
          </w:p>
          <w:p>
            <w:pPr>
              <w:pStyle w:val="13"/>
              <w:jc w:val="center"/>
            </w:pPr>
          </w:p>
          <w:p>
            <w:pPr>
              <w:pStyle w:val="13"/>
              <w:jc w:val="center"/>
            </w:pPr>
            <w:r>
              <w:rPr>
                <w:rFonts w:hint="default" w:ascii="Times New Roman" w:hAnsi="Times New Roman" w:cs="Times New Roman"/>
                <w:b/>
                <w:sz w:val="24"/>
                <w:szCs w:val="24"/>
              </w:rPr>
              <w:t>A</w:t>
            </w:r>
            <w:r>
              <w:rPr>
                <w:rFonts w:hint="default" w:ascii="Times New Roman" w:hAnsi="Times New Roman" w:cs="Times New Roman"/>
                <w:b/>
                <w:sz w:val="24"/>
                <w:szCs w:val="24"/>
                <w:lang w:val="pt-BR"/>
              </w:rPr>
              <w:t>LEXANDRE ACCIOLY BORBA</w:t>
            </w:r>
            <w:r>
              <w:rPr>
                <w:rFonts w:hint="default" w:ascii="Times New Roman" w:hAnsi="Times New Roman" w:cs="Times New Roman"/>
                <w:b/>
                <w:sz w:val="24"/>
                <w:szCs w:val="24"/>
              </w:rPr>
              <w:t xml:space="preserve"> - </w:t>
            </w:r>
            <w:r>
              <w:rPr>
                <w:rFonts w:hint="default" w:ascii="Times New Roman" w:hAnsi="Times New Roman" w:cs="Times New Roman"/>
                <w:b/>
                <w:sz w:val="24"/>
                <w:szCs w:val="24"/>
                <w:lang w:val="pt-BR"/>
              </w:rPr>
              <w:t>T</w:t>
            </w:r>
            <w:r>
              <w:rPr>
                <w:rFonts w:hint="default" w:ascii="Times New Roman" w:hAnsi="Times New Roman" w:cs="Times New Roman"/>
                <w:b/>
                <w:sz w:val="24"/>
                <w:szCs w:val="24"/>
              </w:rPr>
              <w:t>C</w:t>
            </w:r>
          </w:p>
          <w:p>
            <w:pPr>
              <w:pStyle w:val="13"/>
              <w:snapToGrid w:val="0"/>
              <w:jc w:val="center"/>
            </w:pPr>
            <w:r>
              <w:rPr>
                <w:rFonts w:ascii="Times New Roman" w:hAnsi="Times New Roman" w:cs="Open Sans"/>
                <w:color w:val="000000"/>
                <w:sz w:val="22"/>
                <w:szCs w:val="22"/>
                <w:highlight w:val="white"/>
              </w:rPr>
              <w:t>Ordenador de Despesas II do Cmdo 4ª RM</w:t>
            </w:r>
          </w:p>
        </w:tc>
      </w:tr>
    </w:tbl>
    <w:p/>
    <w:sectPr>
      <w:pgSz w:w="11906" w:h="16838"/>
      <w:pgMar w:top="1417" w:right="1701" w:bottom="1417" w:left="1701"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Ecofont_Spranq_eco_Sans">
    <w:altName w:val="Malgun Gothic"/>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WenQuanYi Micro Hei">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Lohit Hindi">
    <w:altName w:val="Times New Roman"/>
    <w:panose1 w:val="00000000000000000000"/>
    <w:charset w:val="00"/>
    <w:family w:val="auto"/>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Times New Roman"/>
    <w:panose1 w:val="00000000000000000000"/>
    <w:charset w:val="00"/>
    <w:family w:val="auto"/>
    <w:pitch w:val="default"/>
    <w:sig w:usb0="00000000" w:usb1="00000000" w:usb2="00000000" w:usb3="00000000" w:csb0="00040001" w:csb1="00000000"/>
  </w:font>
  <w:font w:name="DejaVu Sans">
    <w:panose1 w:val="020B0603030804020204"/>
    <w:charset w:val="00"/>
    <w:family w:val="swiss"/>
    <w:pitch w:val="default"/>
    <w:sig w:usb0="E7006EFF" w:usb1="D200FDFF" w:usb2="0A246029" w:usb3="0400200C" w:csb0="600001FF" w:csb1="DFFF0000"/>
  </w:font>
  <w:font w:name="Zurich BT">
    <w:altName w:val="Liberation Mono"/>
    <w:panose1 w:val="00000000000000000000"/>
    <w:charset w:val="00"/>
    <w:family w:val="roman"/>
    <w:pitch w:val="default"/>
    <w:sig w:usb0="00000000" w:usb1="00000000" w:usb2="00000000" w:usb3="00000000" w:csb0="00000000" w:csb1="00000000"/>
  </w:font>
  <w:font w:name="Times-Bold">
    <w:altName w:val="Microsoft YaHei"/>
    <w:panose1 w:val="00000000000000000000"/>
    <w:charset w:val="00"/>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Open Sans">
    <w:panose1 w:val="020B0606030504020204"/>
    <w:charset w:val="00"/>
    <w:family w:val="swiss"/>
    <w:pitch w:val="default"/>
    <w:sig w:usb0="E00002EF" w:usb1="4000205B" w:usb2="00000028"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tabs>
          <w:tab w:val="left" w:pos="0"/>
        </w:tabs>
        <w:ind w:left="720" w:hanging="360"/>
      </w:pPr>
      <w:rPr>
        <w:b/>
        <w:sz w:val="22"/>
      </w:r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
    <w:nsid w:val="0053208E"/>
    <w:multiLevelType w:val="multilevel"/>
    <w:tmpl w:val="0053208E"/>
    <w:lvl w:ilvl="0" w:tentative="0">
      <w:start w:val="1"/>
      <w:numFmt w:val="decimal"/>
      <w:lvlText w:val="%1."/>
      <w:lvlJc w:val="left"/>
      <w:pPr>
        <w:ind w:left="356" w:hanging="240"/>
      </w:pPr>
      <w:rPr>
        <w:rFonts w:hint="default" w:ascii="Times New Roman" w:hAnsi="Times New Roman" w:eastAsia="Times New Roman" w:cs="Times New Roman"/>
        <w:b/>
        <w:bCs/>
        <w:w w:val="100"/>
        <w:sz w:val="24"/>
        <w:szCs w:val="24"/>
        <w:lang w:val="pt-PT" w:eastAsia="en-US" w:bidi="ar-SA"/>
      </w:rPr>
    </w:lvl>
    <w:lvl w:ilvl="1" w:tentative="0">
      <w:start w:val="1"/>
      <w:numFmt w:val="decimal"/>
      <w:lvlText w:val="%1.%2."/>
      <w:lvlJc w:val="left"/>
      <w:pPr>
        <w:ind w:left="1" w:hanging="434"/>
      </w:pPr>
      <w:rPr>
        <w:rFonts w:hint="default" w:ascii="Times New Roman" w:hAnsi="Times New Roman" w:eastAsia="Times New Roman" w:cs="Times New Roman"/>
        <w:w w:val="100"/>
        <w:sz w:val="24"/>
        <w:szCs w:val="24"/>
        <w:lang w:val="pt-PT" w:eastAsia="en-US" w:bidi="ar-SA"/>
      </w:rPr>
    </w:lvl>
    <w:lvl w:ilvl="2" w:tentative="0">
      <w:start w:val="1"/>
      <w:numFmt w:val="decimal"/>
      <w:lvlText w:val="%1.%2.%3."/>
      <w:lvlJc w:val="left"/>
      <w:pPr>
        <w:ind w:left="116" w:hanging="610"/>
      </w:pPr>
      <w:rPr>
        <w:rFonts w:hint="default" w:ascii="Times New Roman" w:hAnsi="Times New Roman" w:eastAsia="Times New Roman" w:cs="Times New Roman"/>
        <w:w w:val="100"/>
        <w:sz w:val="24"/>
        <w:szCs w:val="24"/>
        <w:lang w:val="pt-PT" w:eastAsia="en-US" w:bidi="ar-SA"/>
      </w:rPr>
    </w:lvl>
    <w:lvl w:ilvl="3" w:tentative="0">
      <w:start w:val="0"/>
      <w:numFmt w:val="bullet"/>
      <w:lvlText w:val="•"/>
      <w:lvlJc w:val="left"/>
      <w:pPr>
        <w:ind w:left="1550" w:hanging="610"/>
      </w:pPr>
      <w:rPr>
        <w:rFonts w:hint="default"/>
        <w:lang w:val="pt-PT" w:eastAsia="en-US" w:bidi="ar-SA"/>
      </w:rPr>
    </w:lvl>
    <w:lvl w:ilvl="4" w:tentative="0">
      <w:start w:val="0"/>
      <w:numFmt w:val="bullet"/>
      <w:lvlText w:val="•"/>
      <w:lvlJc w:val="left"/>
      <w:pPr>
        <w:ind w:left="2741" w:hanging="610"/>
      </w:pPr>
      <w:rPr>
        <w:rFonts w:hint="default"/>
        <w:lang w:val="pt-PT" w:eastAsia="en-US" w:bidi="ar-SA"/>
      </w:rPr>
    </w:lvl>
    <w:lvl w:ilvl="5" w:tentative="0">
      <w:start w:val="0"/>
      <w:numFmt w:val="bullet"/>
      <w:lvlText w:val="•"/>
      <w:lvlJc w:val="left"/>
      <w:pPr>
        <w:ind w:left="3931" w:hanging="610"/>
      </w:pPr>
      <w:rPr>
        <w:rFonts w:hint="default"/>
        <w:lang w:val="pt-PT" w:eastAsia="en-US" w:bidi="ar-SA"/>
      </w:rPr>
    </w:lvl>
    <w:lvl w:ilvl="6" w:tentative="0">
      <w:start w:val="0"/>
      <w:numFmt w:val="bullet"/>
      <w:lvlText w:val="•"/>
      <w:lvlJc w:val="left"/>
      <w:pPr>
        <w:ind w:left="5122" w:hanging="610"/>
      </w:pPr>
      <w:rPr>
        <w:rFonts w:hint="default"/>
        <w:lang w:val="pt-PT" w:eastAsia="en-US" w:bidi="ar-SA"/>
      </w:rPr>
    </w:lvl>
    <w:lvl w:ilvl="7" w:tentative="0">
      <w:start w:val="0"/>
      <w:numFmt w:val="bullet"/>
      <w:lvlText w:val="•"/>
      <w:lvlJc w:val="left"/>
      <w:pPr>
        <w:ind w:left="6313" w:hanging="610"/>
      </w:pPr>
      <w:rPr>
        <w:rFonts w:hint="default"/>
        <w:lang w:val="pt-PT" w:eastAsia="en-US" w:bidi="ar-SA"/>
      </w:rPr>
    </w:lvl>
    <w:lvl w:ilvl="8" w:tentative="0">
      <w:start w:val="0"/>
      <w:numFmt w:val="bullet"/>
      <w:lvlText w:val="•"/>
      <w:lvlJc w:val="left"/>
      <w:pPr>
        <w:ind w:left="7503" w:hanging="610"/>
      </w:pPr>
      <w:rPr>
        <w:rFonts w:hint="default"/>
        <w:lang w:val="pt-PT" w:eastAsia="en-US" w:bidi="ar-SA"/>
      </w:rPr>
    </w:lvl>
  </w:abstractNum>
  <w:abstractNum w:abstractNumId="2">
    <w:nsid w:val="15481CFC"/>
    <w:multiLevelType w:val="multilevel"/>
    <w:tmpl w:val="15481CF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D5C100D"/>
    <w:multiLevelType w:val="multilevel"/>
    <w:tmpl w:val="1D5C100D"/>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ascii="Times New Roman" w:hAnsi="Times New Roman" w:cs="Times New Roman"/>
        <w:b w:val="0"/>
        <w:i w:val="0"/>
        <w:iCs/>
      </w:rPr>
    </w:lvl>
    <w:lvl w:ilvl="2" w:tentative="0">
      <w:start w:val="1"/>
      <w:numFmt w:val="decimal"/>
      <w:lvlText w:val="%1.%2.%3."/>
      <w:lvlJc w:val="left"/>
      <w:pPr>
        <w:ind w:left="1104" w:hanging="504"/>
      </w:pPr>
      <w:rPr>
        <w:rFonts w:hint="default" w:ascii="Times New Roman" w:hAnsi="Times New Roman" w:cs="Times New Roman"/>
        <w:b w:val="0"/>
        <w:i w:val="0"/>
        <w:iCs/>
        <w:color w:val="auto"/>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B952230"/>
    <w:multiLevelType w:val="multilevel"/>
    <w:tmpl w:val="2B952230"/>
    <w:lvl w:ilvl="0" w:tentative="0">
      <w:start w:val="2"/>
      <w:numFmt w:val="decimal"/>
      <w:lvlText w:val="%1."/>
      <w:lvlJc w:val="left"/>
      <w:pPr>
        <w:tabs>
          <w:tab w:val="left" w:pos="720"/>
        </w:tabs>
        <w:ind w:left="720" w:hanging="360"/>
      </w:pPr>
    </w:lvl>
    <w:lvl w:ilvl="1" w:tentative="0">
      <w:start w:val="4"/>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F98288B"/>
    <w:multiLevelType w:val="multilevel"/>
    <w:tmpl w:val="2F98288B"/>
    <w:lvl w:ilvl="0" w:tentative="0">
      <w:start w:val="5"/>
      <w:numFmt w:val="decimal"/>
      <w:lvlText w:val="%1"/>
      <w:lvlJc w:val="left"/>
      <w:pPr>
        <w:ind w:left="360" w:hanging="360"/>
      </w:pPr>
      <w:rPr>
        <w:rFonts w:hint="default" w:ascii="Times New Roman" w:hAnsi="Times New Roman" w:cs="Liberation Serif"/>
      </w:rPr>
    </w:lvl>
    <w:lvl w:ilvl="1" w:tentative="0">
      <w:start w:val="3"/>
      <w:numFmt w:val="decimal"/>
      <w:lvlText w:val="%1.%2"/>
      <w:lvlJc w:val="left"/>
      <w:pPr>
        <w:ind w:left="360" w:hanging="360"/>
      </w:pPr>
      <w:rPr>
        <w:rFonts w:hint="default" w:ascii="Times New Roman" w:hAnsi="Times New Roman" w:cs="Liberation Serif"/>
      </w:rPr>
    </w:lvl>
    <w:lvl w:ilvl="2" w:tentative="0">
      <w:start w:val="1"/>
      <w:numFmt w:val="decimal"/>
      <w:lvlText w:val="%1.%2.%3"/>
      <w:lvlJc w:val="left"/>
      <w:pPr>
        <w:ind w:left="720" w:hanging="720"/>
      </w:pPr>
      <w:rPr>
        <w:rFonts w:hint="default" w:ascii="Times New Roman" w:hAnsi="Times New Roman" w:cs="Liberation Serif"/>
      </w:rPr>
    </w:lvl>
    <w:lvl w:ilvl="3" w:tentative="0">
      <w:start w:val="1"/>
      <w:numFmt w:val="decimal"/>
      <w:lvlText w:val="%1.%2.%3.%4"/>
      <w:lvlJc w:val="left"/>
      <w:pPr>
        <w:ind w:left="720" w:hanging="720"/>
      </w:pPr>
      <w:rPr>
        <w:rFonts w:hint="default" w:ascii="Times New Roman" w:hAnsi="Times New Roman" w:cs="Liberation Serif"/>
      </w:rPr>
    </w:lvl>
    <w:lvl w:ilvl="4" w:tentative="0">
      <w:start w:val="1"/>
      <w:numFmt w:val="decimal"/>
      <w:lvlText w:val="%1.%2.%3.%4.%5"/>
      <w:lvlJc w:val="left"/>
      <w:pPr>
        <w:ind w:left="1080" w:hanging="1080"/>
      </w:pPr>
      <w:rPr>
        <w:rFonts w:hint="default" w:ascii="Times New Roman" w:hAnsi="Times New Roman" w:cs="Liberation Serif"/>
      </w:rPr>
    </w:lvl>
    <w:lvl w:ilvl="5" w:tentative="0">
      <w:start w:val="1"/>
      <w:numFmt w:val="decimal"/>
      <w:lvlText w:val="%1.%2.%3.%4.%5.%6"/>
      <w:lvlJc w:val="left"/>
      <w:pPr>
        <w:ind w:left="1080" w:hanging="1080"/>
      </w:pPr>
      <w:rPr>
        <w:rFonts w:hint="default" w:ascii="Times New Roman" w:hAnsi="Times New Roman" w:cs="Liberation Serif"/>
      </w:rPr>
    </w:lvl>
    <w:lvl w:ilvl="6" w:tentative="0">
      <w:start w:val="1"/>
      <w:numFmt w:val="decimal"/>
      <w:lvlText w:val="%1.%2.%3.%4.%5.%6.%7"/>
      <w:lvlJc w:val="left"/>
      <w:pPr>
        <w:ind w:left="1440" w:hanging="1440"/>
      </w:pPr>
      <w:rPr>
        <w:rFonts w:hint="default" w:ascii="Times New Roman" w:hAnsi="Times New Roman" w:cs="Liberation Serif"/>
      </w:rPr>
    </w:lvl>
    <w:lvl w:ilvl="7" w:tentative="0">
      <w:start w:val="1"/>
      <w:numFmt w:val="decimal"/>
      <w:lvlText w:val="%1.%2.%3.%4.%5.%6.%7.%8"/>
      <w:lvlJc w:val="left"/>
      <w:pPr>
        <w:ind w:left="1440" w:hanging="1440"/>
      </w:pPr>
      <w:rPr>
        <w:rFonts w:hint="default" w:ascii="Times New Roman" w:hAnsi="Times New Roman" w:cs="Liberation Serif"/>
      </w:rPr>
    </w:lvl>
    <w:lvl w:ilvl="8" w:tentative="0">
      <w:start w:val="1"/>
      <w:numFmt w:val="decimal"/>
      <w:lvlText w:val="%1.%2.%3.%4.%5.%6.%7.%8.%9"/>
      <w:lvlJc w:val="left"/>
      <w:pPr>
        <w:ind w:left="1800" w:hanging="1800"/>
      </w:pPr>
      <w:rPr>
        <w:rFonts w:hint="default" w:ascii="Times New Roman" w:hAnsi="Times New Roman" w:cs="Liberation Serif"/>
      </w:rPr>
    </w:lvl>
  </w:abstractNum>
  <w:abstractNum w:abstractNumId="6">
    <w:nsid w:val="3BFE4A08"/>
    <w:multiLevelType w:val="multilevel"/>
    <w:tmpl w:val="3BFE4A08"/>
    <w:lvl w:ilvl="0" w:tentative="0">
      <w:start w:val="6"/>
      <w:numFmt w:val="decimal"/>
      <w:lvlText w:val="%1."/>
      <w:lvlJc w:val="left"/>
      <w:pPr>
        <w:tabs>
          <w:tab w:val="left" w:pos="0"/>
        </w:tabs>
        <w:ind w:left="720" w:hanging="360"/>
      </w:pPr>
    </w:lvl>
    <w:lvl w:ilvl="1" w:tentative="0">
      <w:start w:val="1"/>
      <w:numFmt w:val="decimal"/>
      <w:lvlText w:val="%1.%2."/>
      <w:lvlJc w:val="left"/>
      <w:pPr>
        <w:tabs>
          <w:tab w:val="left" w:pos="0"/>
        </w:tabs>
        <w:ind w:left="720" w:hanging="360"/>
      </w:pPr>
    </w:lvl>
    <w:lvl w:ilvl="2" w:tentative="0">
      <w:start w:val="1"/>
      <w:numFmt w:val="decimal"/>
      <w:lvlText w:val="%1.%2.%3."/>
      <w:lvlJc w:val="left"/>
      <w:pPr>
        <w:tabs>
          <w:tab w:val="left" w:pos="0"/>
        </w:tabs>
        <w:ind w:left="1080" w:hanging="720"/>
      </w:pPr>
    </w:lvl>
    <w:lvl w:ilvl="3" w:tentative="0">
      <w:start w:val="1"/>
      <w:numFmt w:val="decimal"/>
      <w:lvlText w:val="%1.%2.%3.%4."/>
      <w:lvlJc w:val="left"/>
      <w:pPr>
        <w:tabs>
          <w:tab w:val="left" w:pos="0"/>
        </w:tabs>
        <w:ind w:left="1080" w:hanging="720"/>
      </w:pPr>
    </w:lvl>
    <w:lvl w:ilvl="4" w:tentative="0">
      <w:start w:val="1"/>
      <w:numFmt w:val="decimal"/>
      <w:lvlText w:val="%1.%2.%3.%4.%5."/>
      <w:lvlJc w:val="left"/>
      <w:pPr>
        <w:tabs>
          <w:tab w:val="left" w:pos="0"/>
        </w:tabs>
        <w:ind w:left="1440" w:hanging="1080"/>
      </w:pPr>
    </w:lvl>
    <w:lvl w:ilvl="5" w:tentative="0">
      <w:start w:val="1"/>
      <w:numFmt w:val="decimal"/>
      <w:lvlText w:val="%1.%2.%3.%4.%5.%6."/>
      <w:lvlJc w:val="left"/>
      <w:pPr>
        <w:tabs>
          <w:tab w:val="left" w:pos="0"/>
        </w:tabs>
        <w:ind w:left="1440" w:hanging="1080"/>
      </w:pPr>
    </w:lvl>
    <w:lvl w:ilvl="6" w:tentative="0">
      <w:start w:val="1"/>
      <w:numFmt w:val="decimal"/>
      <w:lvlText w:val="%1.%2.%3.%4.%5.%6.%7."/>
      <w:lvlJc w:val="left"/>
      <w:pPr>
        <w:tabs>
          <w:tab w:val="left" w:pos="0"/>
        </w:tabs>
        <w:ind w:left="1800" w:hanging="1440"/>
      </w:pPr>
    </w:lvl>
    <w:lvl w:ilvl="7" w:tentative="0">
      <w:start w:val="1"/>
      <w:numFmt w:val="decimal"/>
      <w:lvlText w:val="%1.%2.%3.%4.%5.%6.%7.%8."/>
      <w:lvlJc w:val="left"/>
      <w:pPr>
        <w:tabs>
          <w:tab w:val="left" w:pos="0"/>
        </w:tabs>
        <w:ind w:left="1800" w:hanging="1440"/>
      </w:pPr>
    </w:lvl>
    <w:lvl w:ilvl="8" w:tentative="0">
      <w:start w:val="1"/>
      <w:numFmt w:val="decimal"/>
      <w:lvlText w:val="%1.%2.%3.%4.%5.%6.%7.%8.%9."/>
      <w:lvlJc w:val="left"/>
      <w:pPr>
        <w:tabs>
          <w:tab w:val="left" w:pos="0"/>
        </w:tabs>
        <w:ind w:left="2160" w:hanging="1800"/>
      </w:pPr>
    </w:lvl>
  </w:abstractNum>
  <w:abstractNum w:abstractNumId="7">
    <w:nsid w:val="43BB2443"/>
    <w:multiLevelType w:val="multilevel"/>
    <w:tmpl w:val="43BB2443"/>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b w:val="0"/>
        <w:i w:val="0"/>
        <w:iCs/>
      </w:rPr>
    </w:lvl>
    <w:lvl w:ilvl="2" w:tentative="0">
      <w:start w:val="1"/>
      <w:numFmt w:val="lowerLetter"/>
      <w:lvlText w:val="%3)"/>
      <w:lvlJc w:val="left"/>
      <w:pPr>
        <w:ind w:left="2205" w:hanging="504"/>
      </w:pPr>
      <w:rPr>
        <w:rFonts w:hint="default"/>
        <w:b w:val="0"/>
        <w:i w:val="0"/>
        <w:iCs/>
        <w:color w:val="auto"/>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4D9F18EF"/>
    <w:multiLevelType w:val="multilevel"/>
    <w:tmpl w:val="4D9F18EF"/>
    <w:lvl w:ilvl="0" w:tentative="0">
      <w:start w:val="3"/>
      <w:numFmt w:val="decimal"/>
      <w:lvlText w:val="%1"/>
      <w:lvlJc w:val="left"/>
      <w:pPr>
        <w:ind w:left="360" w:hanging="360"/>
      </w:pPr>
      <w:rPr>
        <w:rFonts w:hint="default"/>
        <w:color w:val="000000"/>
      </w:rPr>
    </w:lvl>
    <w:lvl w:ilvl="1" w:tentative="0">
      <w:start w:val="1"/>
      <w:numFmt w:val="decimal"/>
      <w:lvlText w:val="%1.%2"/>
      <w:lvlJc w:val="left"/>
      <w:pPr>
        <w:ind w:left="360" w:hanging="360"/>
      </w:pPr>
      <w:rPr>
        <w:rFonts w:hint="default"/>
        <w:color w:val="000000"/>
      </w:rPr>
    </w:lvl>
    <w:lvl w:ilvl="2" w:tentative="0">
      <w:start w:val="1"/>
      <w:numFmt w:val="decimal"/>
      <w:lvlText w:val="%1.%2.%3"/>
      <w:lvlJc w:val="left"/>
      <w:pPr>
        <w:ind w:left="720" w:hanging="720"/>
      </w:pPr>
      <w:rPr>
        <w:rFonts w:hint="default"/>
        <w:color w:val="000000"/>
      </w:rPr>
    </w:lvl>
    <w:lvl w:ilvl="3" w:tentative="0">
      <w:start w:val="1"/>
      <w:numFmt w:val="decimal"/>
      <w:lvlText w:val="%1.%2.%3.%4"/>
      <w:lvlJc w:val="left"/>
      <w:pPr>
        <w:ind w:left="720" w:hanging="720"/>
      </w:pPr>
      <w:rPr>
        <w:rFonts w:hint="default"/>
        <w:color w:val="000000"/>
      </w:rPr>
    </w:lvl>
    <w:lvl w:ilvl="4" w:tentative="0">
      <w:start w:val="1"/>
      <w:numFmt w:val="decimal"/>
      <w:lvlText w:val="%1.%2.%3.%4.%5"/>
      <w:lvlJc w:val="left"/>
      <w:pPr>
        <w:ind w:left="1080" w:hanging="1080"/>
      </w:pPr>
      <w:rPr>
        <w:rFonts w:hint="default"/>
        <w:color w:val="000000"/>
      </w:rPr>
    </w:lvl>
    <w:lvl w:ilvl="5" w:tentative="0">
      <w:start w:val="1"/>
      <w:numFmt w:val="decimal"/>
      <w:lvlText w:val="%1.%2.%3.%4.%5.%6"/>
      <w:lvlJc w:val="left"/>
      <w:pPr>
        <w:ind w:left="1080" w:hanging="1080"/>
      </w:pPr>
      <w:rPr>
        <w:rFonts w:hint="default"/>
        <w:color w:val="000000"/>
      </w:rPr>
    </w:lvl>
    <w:lvl w:ilvl="6" w:tentative="0">
      <w:start w:val="1"/>
      <w:numFmt w:val="decimal"/>
      <w:lvlText w:val="%1.%2.%3.%4.%5.%6.%7"/>
      <w:lvlJc w:val="left"/>
      <w:pPr>
        <w:ind w:left="1440" w:hanging="1440"/>
      </w:pPr>
      <w:rPr>
        <w:rFonts w:hint="default"/>
        <w:color w:val="000000"/>
      </w:rPr>
    </w:lvl>
    <w:lvl w:ilvl="7" w:tentative="0">
      <w:start w:val="1"/>
      <w:numFmt w:val="decimal"/>
      <w:lvlText w:val="%1.%2.%3.%4.%5.%6.%7.%8"/>
      <w:lvlJc w:val="left"/>
      <w:pPr>
        <w:ind w:left="1440" w:hanging="1440"/>
      </w:pPr>
      <w:rPr>
        <w:rFonts w:hint="default"/>
        <w:color w:val="000000"/>
      </w:rPr>
    </w:lvl>
    <w:lvl w:ilvl="8" w:tentative="0">
      <w:start w:val="1"/>
      <w:numFmt w:val="decimal"/>
      <w:lvlText w:val="%1.%2.%3.%4.%5.%6.%7.%8.%9"/>
      <w:lvlJc w:val="left"/>
      <w:pPr>
        <w:ind w:left="1800" w:hanging="1800"/>
      </w:pPr>
      <w:rPr>
        <w:rFonts w:hint="default"/>
        <w:color w:val="000000"/>
      </w:rPr>
    </w:lvl>
  </w:abstractNum>
  <w:abstractNum w:abstractNumId="9">
    <w:nsid w:val="56AB1F72"/>
    <w:multiLevelType w:val="multilevel"/>
    <w:tmpl w:val="56AB1F72"/>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57EC30AA"/>
    <w:multiLevelType w:val="multilevel"/>
    <w:tmpl w:val="57EC30AA"/>
    <w:lvl w:ilvl="0" w:tentative="0">
      <w:start w:val="1"/>
      <w:numFmt w:val="decimal"/>
      <w:lvlText w:val="%1."/>
      <w:lvlJc w:val="left"/>
      <w:pPr>
        <w:ind w:left="360" w:hanging="360"/>
      </w:pPr>
      <w:rPr>
        <w:rFonts w:hint="default"/>
        <w:b/>
      </w:rPr>
    </w:lvl>
    <w:lvl w:ilvl="1" w:tentative="0">
      <w:start w:val="1"/>
      <w:numFmt w:val="decimal"/>
      <w:lvlText w:val="%1.%2."/>
      <w:lvlJc w:val="left"/>
      <w:pPr>
        <w:ind w:left="792" w:hanging="432"/>
      </w:pPr>
      <w:rPr>
        <w:rFonts w:hint="default"/>
        <w:b w:val="0"/>
        <w:i w:val="0"/>
        <w:iCs/>
      </w:rPr>
    </w:lvl>
    <w:lvl w:ilvl="2" w:tentative="0">
      <w:start w:val="1"/>
      <w:numFmt w:val="decimal"/>
      <w:lvlText w:val="%1.%2.%3."/>
      <w:lvlJc w:val="left"/>
      <w:pPr>
        <w:ind w:left="1224" w:hanging="504"/>
      </w:pPr>
      <w:rPr>
        <w:rFonts w:hint="default" w:ascii="Arial" w:hAnsi="Arial" w:cs="Arial"/>
        <w:b w:val="0"/>
        <w:i w:val="0"/>
        <w:iCs/>
        <w:color w:val="auto"/>
      </w:rPr>
    </w:lvl>
    <w:lvl w:ilvl="3" w:tentative="0">
      <w:start w:val="1"/>
      <w:numFmt w:val="lowerLetter"/>
      <w:lvlText w:val="%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3"/>
  </w:num>
  <w:num w:numId="2">
    <w:abstractNumId w:val="1"/>
  </w:num>
  <w:num w:numId="3">
    <w:abstractNumId w:val="10"/>
  </w:num>
  <w:num w:numId="4">
    <w:abstractNumId w:val="7"/>
  </w:num>
  <w:num w:numId="5">
    <w:abstractNumId w:val="9"/>
    <w:lvlOverride w:ilvl="0">
      <w:startOverride w:val="2"/>
    </w:lvlOverride>
  </w:num>
  <w:num w:numId="6">
    <w:abstractNumId w:val="2"/>
  </w:num>
  <w:num w:numId="7">
    <w:abstractNumId w:val="4"/>
  </w:num>
  <w:num w:numId="8">
    <w:abstractNumId w:val="8"/>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D3CF5"/>
    <w:rsid w:val="0D1D3CF5"/>
    <w:rsid w:val="28652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rPr>
      <w:rFonts w:ascii="Arial" w:hAnsi="Arial" w:eastAsia="Times New Roman" w:cs="Tahoma"/>
      <w:szCs w:val="24"/>
      <w:lang w:val="pt-BR" w:eastAsia="pt-BR"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00080"/>
      <w:u w:val="single"/>
    </w:rPr>
  </w:style>
  <w:style w:type="paragraph" w:styleId="5">
    <w:name w:val="Body Text"/>
    <w:basedOn w:val="1"/>
    <w:qFormat/>
    <w:uiPriority w:val="0"/>
    <w:pPr>
      <w:suppressAutoHyphens/>
      <w:spacing w:before="0" w:after="140" w:line="276" w:lineRule="auto"/>
    </w:pPr>
  </w:style>
  <w:style w:type="paragraph" w:styleId="6">
    <w:name w:val="header"/>
    <w:basedOn w:val="1"/>
    <w:uiPriority w:val="0"/>
    <w:pPr>
      <w:suppressLineNumbers/>
      <w:tabs>
        <w:tab w:val="center" w:pos="4961"/>
        <w:tab w:val="right" w:pos="9922"/>
      </w:tabs>
      <w:suppressAutoHyphens/>
    </w:pPr>
  </w:style>
  <w:style w:type="paragraph" w:customStyle="1" w:styleId="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styleId="8">
    <w:name w:val="List Paragraph"/>
    <w:basedOn w:val="1"/>
    <w:qFormat/>
    <w:uiPriority w:val="34"/>
    <w:pPr>
      <w:ind w:left="720"/>
      <w:contextualSpacing/>
    </w:pPr>
  </w:style>
  <w:style w:type="paragraph" w:customStyle="1" w:styleId="9">
    <w:name w:val="texto"/>
    <w:qFormat/>
    <w:uiPriority w:val="0"/>
    <w:pPr>
      <w:widowControl w:val="0"/>
      <w:tabs>
        <w:tab w:val="left" w:pos="1048"/>
        <w:tab w:val="left" w:pos="1756"/>
        <w:tab w:val="left" w:pos="2464"/>
        <w:tab w:val="left" w:pos="3172"/>
        <w:tab w:val="left" w:pos="3880"/>
        <w:tab w:val="left" w:pos="4588"/>
        <w:tab w:val="left" w:pos="5296"/>
        <w:tab w:val="left" w:pos="6004"/>
        <w:tab w:val="left" w:pos="6712"/>
        <w:tab w:val="left" w:pos="7420"/>
        <w:tab w:val="left" w:pos="8128"/>
        <w:tab w:val="left" w:pos="8836"/>
        <w:tab w:val="left" w:pos="9544"/>
        <w:tab w:val="left" w:pos="10252"/>
        <w:tab w:val="left" w:pos="10960"/>
        <w:tab w:val="left" w:pos="11668"/>
        <w:tab w:val="left" w:pos="12376"/>
        <w:tab w:val="left" w:pos="13084"/>
        <w:tab w:val="left" w:pos="13792"/>
        <w:tab w:val="left" w:pos="14500"/>
        <w:tab w:val="left" w:pos="15208"/>
        <w:tab w:val="left" w:pos="15916"/>
        <w:tab w:val="left" w:pos="16624"/>
        <w:tab w:val="left" w:pos="17332"/>
        <w:tab w:val="left" w:pos="18040"/>
        <w:tab w:val="left" w:pos="18748"/>
        <w:tab w:val="left" w:pos="19456"/>
        <w:tab w:val="left" w:pos="20164"/>
        <w:tab w:val="left" w:pos="20872"/>
        <w:tab w:val="left" w:pos="21580"/>
        <w:tab w:val="left" w:pos="22288"/>
        <w:tab w:val="left" w:pos="22996"/>
        <w:tab w:val="left" w:pos="23704"/>
        <w:tab w:val="left" w:pos="24412"/>
        <w:tab w:val="left" w:pos="25120"/>
        <w:tab w:val="left" w:pos="25828"/>
        <w:tab w:val="left" w:pos="26536"/>
        <w:tab w:val="left" w:pos="27244"/>
        <w:tab w:val="left" w:pos="27952"/>
        <w:tab w:val="left" w:pos="28660"/>
      </w:tabs>
      <w:suppressAutoHyphens/>
      <w:spacing w:line="240" w:lineRule="atLeast"/>
      <w:ind w:left="170" w:hanging="170"/>
      <w:jc w:val="both"/>
      <w:textAlignment w:val="baseline"/>
    </w:pPr>
    <w:rPr>
      <w:rFonts w:ascii="Liberation Serif" w:hAnsi="Liberation Serif" w:eastAsia="Droid Sans Fallback" w:cs="FreeSans"/>
      <w:color w:val="00000A"/>
      <w:kern w:val="2"/>
      <w:sz w:val="24"/>
      <w:szCs w:val="24"/>
      <w:lang w:val="pt-BR" w:eastAsia="zh-CN" w:bidi="hi-IN"/>
    </w:rPr>
  </w:style>
  <w:style w:type="paragraph" w:customStyle="1" w:styleId="10">
    <w:name w:val="Standard"/>
    <w:qFormat/>
    <w:uiPriority w:val="0"/>
    <w:pPr>
      <w:widowControl w:val="0"/>
      <w:suppressAutoHyphens/>
      <w:textAlignment w:val="baseline"/>
    </w:pPr>
    <w:rPr>
      <w:rFonts w:ascii="Liberation Serif" w:hAnsi="Liberation Serif" w:eastAsia="DejaVu Sans" w:cs="Lohit Hindi"/>
      <w:color w:val="00000A"/>
      <w:kern w:val="2"/>
      <w:sz w:val="24"/>
      <w:szCs w:val="24"/>
      <w:lang w:val="pt-BR" w:eastAsia="zh-CN" w:bidi="hi-IN"/>
    </w:rPr>
  </w:style>
  <w:style w:type="paragraph" w:customStyle="1" w:styleId="11">
    <w:name w:val="Text body"/>
    <w:basedOn w:val="10"/>
    <w:uiPriority w:val="0"/>
    <w:pPr>
      <w:widowControl/>
      <w:spacing w:before="0" w:after="140" w:line="288" w:lineRule="auto"/>
    </w:pPr>
    <w:rPr>
      <w:rFonts w:eastAsia="SimSun" w:cs="Arial"/>
    </w:rPr>
  </w:style>
  <w:style w:type="character" w:customStyle="1" w:styleId="12">
    <w:name w:val="Fonte parág. padrão1"/>
    <w:qFormat/>
    <w:uiPriority w:val="0"/>
  </w:style>
  <w:style w:type="paragraph" w:customStyle="1" w:styleId="13">
    <w:name w:val="Conteúdo da tabela"/>
    <w:basedOn w:val="1"/>
    <w:qFormat/>
    <w:uiPriority w:val="0"/>
  </w:style>
  <w:style w:type="paragraph" w:customStyle="1" w:styleId="14">
    <w:name w:val="Default"/>
    <w:qFormat/>
    <w:uiPriority w:val="0"/>
    <w:pPr>
      <w:suppressAutoHyphens/>
    </w:pPr>
    <w:rPr>
      <w:rFonts w:ascii="Times New Roman" w:hAnsi="Times New Roman" w:eastAsia="Times New Roman" w:cs="Times New Roman"/>
      <w:color w:val="000000"/>
      <w:kern w:val="2"/>
      <w:sz w:val="24"/>
      <w:szCs w:val="24"/>
      <w:lang w:val="pt-BR" w:eastAsia="pt-BR" w:bidi="ar-SA"/>
    </w:rPr>
  </w:style>
  <w:style w:type="paragraph" w:customStyle="1" w:styleId="15">
    <w:name w:val="Recuo de corpo de texto 31"/>
    <w:basedOn w:val="1"/>
    <w:qFormat/>
    <w:uiPriority w:val="0"/>
    <w:pPr>
      <w:ind w:left="1134" w:right="0" w:hanging="1134"/>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2023-06-28T18:08:00Z</dcterms:created>
  <dc:creator>AqsLic</dc:creator>
  <cp:lastModifiedBy>AqsLic</cp:lastModifiedBy>
  <dcterms:modified xsi:type="dcterms:W3CDTF">2023-06-29T14:13:00Z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1046-11.2.0.11417</vt:lpwstr>
  </property>
  <property fmtid="{D5CDD505-2E9C-101B-9397-08002B2CF9AE}" pid="3" name="ICV">
    <vt:lpwstr>94381625416842D2B0B01AC587075CC3</vt:lpwstr>
  </property>
</Properties>
</file>